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FFAA1">
      <w:pPr>
        <w:pStyle w:val="5"/>
        <w:ind w:left="0"/>
        <w:rPr>
          <w:rFonts w:ascii="Times New Roman"/>
          <w:sz w:val="20"/>
        </w:rPr>
      </w:pPr>
    </w:p>
    <w:p w14:paraId="05AE9F39">
      <w:pPr>
        <w:pStyle w:val="5"/>
        <w:ind w:left="0"/>
        <w:rPr>
          <w:rFonts w:ascii="Times New Roman"/>
          <w:sz w:val="20"/>
        </w:rPr>
      </w:pPr>
    </w:p>
    <w:p w14:paraId="171F120C">
      <w:pPr>
        <w:pStyle w:val="5"/>
        <w:spacing w:before="7"/>
        <w:ind w:left="0"/>
        <w:rPr>
          <w:rFonts w:ascii="Times New Roman"/>
          <w:sz w:val="27"/>
        </w:rPr>
      </w:pPr>
    </w:p>
    <w:p w14:paraId="72C1A37C">
      <w:pPr>
        <w:pStyle w:val="9"/>
        <w:spacing w:before="41" w:line="278" w:lineRule="auto"/>
        <w:ind w:left="0" w:right="570"/>
        <w:rPr>
          <w:spacing w:val="-2"/>
        </w:rPr>
      </w:pPr>
      <w:r>
        <w:rPr>
          <w:spacing w:val="-2"/>
        </w:rPr>
        <w:t>《</w:t>
      </w:r>
      <w:r>
        <w:rPr>
          <w:rFonts w:hint="eastAsia"/>
          <w:spacing w:val="-2"/>
          <w:lang w:val="en-US" w:eastAsia="zh-CN"/>
        </w:rPr>
        <w:t>恒温盐槽技术性能测试</w:t>
      </w:r>
      <w:r>
        <w:rPr>
          <w:rFonts w:hint="eastAsia"/>
          <w:spacing w:val="-2"/>
        </w:rPr>
        <w:t>规范</w:t>
      </w:r>
      <w:r>
        <w:rPr>
          <w:spacing w:val="-2"/>
        </w:rPr>
        <w:t>》</w:t>
      </w:r>
    </w:p>
    <w:p w14:paraId="1E0413A5">
      <w:pPr>
        <w:pStyle w:val="9"/>
        <w:spacing w:before="41" w:line="278" w:lineRule="auto"/>
        <w:ind w:left="0" w:right="570"/>
      </w:pPr>
      <w:r>
        <w:t>编制说明</w:t>
      </w:r>
    </w:p>
    <w:p w14:paraId="1D725B80">
      <w:pPr>
        <w:pStyle w:val="5"/>
        <w:ind w:left="0"/>
        <w:rPr>
          <w:sz w:val="42"/>
        </w:rPr>
      </w:pPr>
    </w:p>
    <w:p w14:paraId="472D0252">
      <w:pPr>
        <w:pStyle w:val="5"/>
        <w:ind w:left="0"/>
        <w:rPr>
          <w:sz w:val="42"/>
        </w:rPr>
      </w:pPr>
    </w:p>
    <w:p w14:paraId="24BEEA8E">
      <w:pPr>
        <w:pStyle w:val="5"/>
        <w:ind w:left="0"/>
        <w:rPr>
          <w:sz w:val="42"/>
        </w:rPr>
      </w:pPr>
    </w:p>
    <w:p w14:paraId="4B3914D0">
      <w:pPr>
        <w:pStyle w:val="5"/>
        <w:ind w:left="0"/>
        <w:rPr>
          <w:sz w:val="42"/>
        </w:rPr>
      </w:pPr>
    </w:p>
    <w:p w14:paraId="67E0577C">
      <w:pPr>
        <w:pStyle w:val="5"/>
        <w:ind w:left="0"/>
        <w:rPr>
          <w:sz w:val="42"/>
        </w:rPr>
      </w:pPr>
    </w:p>
    <w:p w14:paraId="24892DC7">
      <w:pPr>
        <w:pStyle w:val="5"/>
        <w:ind w:left="0"/>
        <w:rPr>
          <w:sz w:val="42"/>
        </w:rPr>
      </w:pPr>
    </w:p>
    <w:p w14:paraId="3DADFD31">
      <w:pPr>
        <w:pStyle w:val="5"/>
        <w:ind w:left="0"/>
        <w:rPr>
          <w:sz w:val="42"/>
        </w:rPr>
      </w:pPr>
    </w:p>
    <w:p w14:paraId="56D708BB">
      <w:pPr>
        <w:pStyle w:val="5"/>
        <w:ind w:left="0"/>
        <w:rPr>
          <w:sz w:val="42"/>
        </w:rPr>
      </w:pPr>
    </w:p>
    <w:p w14:paraId="1276D629">
      <w:pPr>
        <w:pStyle w:val="5"/>
        <w:ind w:left="0"/>
        <w:rPr>
          <w:sz w:val="42"/>
        </w:rPr>
      </w:pPr>
    </w:p>
    <w:p w14:paraId="7402AFC5">
      <w:pPr>
        <w:pStyle w:val="5"/>
        <w:ind w:left="0"/>
        <w:rPr>
          <w:sz w:val="42"/>
        </w:rPr>
      </w:pPr>
    </w:p>
    <w:p w14:paraId="261E0058">
      <w:pPr>
        <w:pStyle w:val="5"/>
        <w:ind w:left="0"/>
        <w:rPr>
          <w:sz w:val="42"/>
        </w:rPr>
      </w:pPr>
    </w:p>
    <w:p w14:paraId="67FFF979">
      <w:pPr>
        <w:pStyle w:val="5"/>
        <w:ind w:left="0"/>
        <w:rPr>
          <w:sz w:val="42"/>
        </w:rPr>
      </w:pPr>
    </w:p>
    <w:p w14:paraId="62127810">
      <w:pPr>
        <w:pStyle w:val="5"/>
        <w:ind w:left="0"/>
        <w:rPr>
          <w:sz w:val="42"/>
        </w:rPr>
      </w:pPr>
    </w:p>
    <w:p w14:paraId="7994E73C">
      <w:pPr>
        <w:pStyle w:val="5"/>
        <w:ind w:left="0"/>
        <w:rPr>
          <w:sz w:val="42"/>
        </w:rPr>
      </w:pPr>
    </w:p>
    <w:p w14:paraId="6077D870">
      <w:pPr>
        <w:pStyle w:val="5"/>
        <w:ind w:left="0"/>
        <w:rPr>
          <w:sz w:val="42"/>
        </w:rPr>
      </w:pPr>
    </w:p>
    <w:p w14:paraId="70B73366">
      <w:pPr>
        <w:pStyle w:val="5"/>
        <w:ind w:left="0"/>
        <w:jc w:val="center"/>
        <w:rPr>
          <w:sz w:val="42"/>
        </w:rPr>
      </w:pPr>
      <w:r>
        <w:rPr>
          <w:rFonts w:hint="eastAsia"/>
          <w:sz w:val="42"/>
        </w:rPr>
        <w:t>规范起草组</w:t>
      </w:r>
    </w:p>
    <w:p w14:paraId="75385FB8">
      <w:pPr>
        <w:pStyle w:val="9"/>
        <w:rPr>
          <w:rFonts w:ascii="Times New Roman"/>
        </w:rPr>
      </w:pPr>
      <w:r>
        <w:rPr>
          <w:rFonts w:ascii="Times New Roman"/>
        </w:rPr>
        <w:t>20</w:t>
      </w:r>
      <w:r>
        <w:rPr>
          <w:rFonts w:hint="eastAsia" w:ascii="Times New Roman"/>
          <w:lang w:val="en-US" w:eastAsia="zh-CN"/>
        </w:rPr>
        <w:t>26</w:t>
      </w:r>
      <w:r>
        <w:rPr>
          <w:rFonts w:hint="eastAsia" w:ascii="Times New Roman"/>
        </w:rPr>
        <w:t>年0</w:t>
      </w:r>
      <w:r>
        <w:rPr>
          <w:rFonts w:hint="eastAsia" w:ascii="Times New Roman"/>
          <w:lang w:val="en-US" w:eastAsia="zh-CN"/>
        </w:rPr>
        <w:t>5</w:t>
      </w:r>
      <w:r>
        <w:rPr>
          <w:rFonts w:hint="eastAsia" w:ascii="Times New Roman"/>
        </w:rPr>
        <w:t>月</w:t>
      </w:r>
    </w:p>
    <w:p w14:paraId="0EBCFB4D">
      <w:pPr>
        <w:rPr>
          <w:rFonts w:ascii="Times New Roman"/>
        </w:rPr>
        <w:sectPr>
          <w:footerReference r:id="rId3" w:type="default"/>
          <w:type w:val="continuous"/>
          <w:pgSz w:w="11910" w:h="16840"/>
          <w:pgMar w:top="1580" w:right="1580" w:bottom="1380" w:left="1680" w:header="720" w:footer="1193" w:gutter="0"/>
          <w:pgNumType w:start="1"/>
          <w:cols w:space="720" w:num="1"/>
        </w:sectPr>
      </w:pPr>
    </w:p>
    <w:p w14:paraId="4850DE7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eastAsia="黑体"/>
          <w:sz w:val="28"/>
          <w:szCs w:val="28"/>
        </w:rPr>
      </w:pPr>
      <w:r>
        <w:rPr>
          <w:rFonts w:eastAsia="黑体"/>
          <w:sz w:val="28"/>
          <w:szCs w:val="28"/>
        </w:rPr>
        <w:t>一、任务来源及背景</w:t>
      </w:r>
    </w:p>
    <w:p w14:paraId="7931E4E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kern w:val="0"/>
          <w:sz w:val="28"/>
          <w:szCs w:val="28"/>
        </w:rPr>
      </w:pPr>
      <w:r>
        <w:rPr>
          <w:kern w:val="0"/>
          <w:sz w:val="28"/>
          <w:szCs w:val="28"/>
        </w:rPr>
        <w:t>1.1 任务来源</w:t>
      </w:r>
    </w:p>
    <w:p w14:paraId="6859CD1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rPr>
      </w:pPr>
      <w:r>
        <w:rPr>
          <w:rFonts w:hint="eastAsia"/>
          <w:sz w:val="24"/>
          <w:szCs w:val="24"/>
          <w:highlight w:val="none"/>
        </w:rPr>
        <w:t>国家市场监督管理局市监计量发〔</w:t>
      </w:r>
      <w:r>
        <w:rPr>
          <w:sz w:val="24"/>
          <w:szCs w:val="24"/>
          <w:highlight w:val="none"/>
        </w:rPr>
        <w:t>202</w:t>
      </w:r>
      <w:r>
        <w:rPr>
          <w:rFonts w:hint="eastAsia"/>
          <w:sz w:val="24"/>
          <w:szCs w:val="24"/>
          <w:highlight w:val="none"/>
          <w:lang w:val="en-US" w:eastAsia="zh-CN"/>
        </w:rPr>
        <w:t>5</w:t>
      </w:r>
      <w:r>
        <w:rPr>
          <w:sz w:val="24"/>
          <w:szCs w:val="24"/>
          <w:highlight w:val="none"/>
        </w:rPr>
        <w:t>〕</w:t>
      </w:r>
      <w:r>
        <w:rPr>
          <w:rFonts w:hint="eastAsia"/>
          <w:sz w:val="24"/>
          <w:szCs w:val="24"/>
          <w:highlight w:val="none"/>
          <w:lang w:val="en-US" w:eastAsia="zh-CN"/>
        </w:rPr>
        <w:t>45</w:t>
      </w:r>
      <w:r>
        <w:rPr>
          <w:sz w:val="24"/>
          <w:szCs w:val="24"/>
          <w:highlight w:val="none"/>
        </w:rPr>
        <w:t xml:space="preserve"> 号文件下达了《</w:t>
      </w:r>
      <w:r>
        <w:rPr>
          <w:rFonts w:hint="eastAsia"/>
          <w:sz w:val="24"/>
          <w:szCs w:val="24"/>
          <w:highlight w:val="none"/>
          <w:lang w:val="en-US" w:eastAsia="zh-CN"/>
        </w:rPr>
        <w:t>恒温盐槽技术性能测试规范</w:t>
      </w:r>
      <w:r>
        <w:rPr>
          <w:sz w:val="24"/>
          <w:szCs w:val="24"/>
          <w:highlight w:val="none"/>
        </w:rPr>
        <w:t>》制定任务，计划项目号：MTC12-202</w:t>
      </w:r>
      <w:r>
        <w:rPr>
          <w:rFonts w:hint="eastAsia"/>
          <w:sz w:val="24"/>
          <w:szCs w:val="24"/>
          <w:highlight w:val="none"/>
          <w:lang w:val="en-US" w:eastAsia="zh-CN"/>
        </w:rPr>
        <w:t>5</w:t>
      </w:r>
      <w:r>
        <w:rPr>
          <w:sz w:val="24"/>
          <w:szCs w:val="24"/>
          <w:highlight w:val="none"/>
        </w:rPr>
        <w:t>-0</w:t>
      </w:r>
      <w:r>
        <w:rPr>
          <w:rFonts w:hint="eastAsia"/>
          <w:sz w:val="24"/>
          <w:szCs w:val="24"/>
          <w:highlight w:val="none"/>
          <w:lang w:val="en-US" w:eastAsia="zh-CN"/>
        </w:rPr>
        <w:t>5</w:t>
      </w:r>
      <w:r>
        <w:rPr>
          <w:rFonts w:hint="eastAsia"/>
          <w:sz w:val="24"/>
          <w:szCs w:val="24"/>
          <w:highlight w:val="none"/>
        </w:rPr>
        <w:t>。该任务于2</w:t>
      </w:r>
      <w:r>
        <w:rPr>
          <w:sz w:val="24"/>
          <w:szCs w:val="24"/>
          <w:highlight w:val="none"/>
        </w:rPr>
        <w:t>02</w:t>
      </w:r>
      <w:r>
        <w:rPr>
          <w:rFonts w:hint="eastAsia"/>
          <w:sz w:val="24"/>
          <w:szCs w:val="24"/>
          <w:highlight w:val="none"/>
          <w:lang w:val="en-US" w:eastAsia="zh-CN"/>
        </w:rPr>
        <w:t>5</w:t>
      </w:r>
      <w:r>
        <w:rPr>
          <w:rFonts w:hint="eastAsia"/>
          <w:sz w:val="24"/>
          <w:szCs w:val="24"/>
          <w:highlight w:val="none"/>
        </w:rPr>
        <w:t>年</w:t>
      </w:r>
      <w:r>
        <w:rPr>
          <w:rFonts w:hint="eastAsia"/>
          <w:sz w:val="24"/>
          <w:szCs w:val="24"/>
          <w:highlight w:val="none"/>
          <w:lang w:val="en-US" w:eastAsia="zh-CN"/>
        </w:rPr>
        <w:t>5</w:t>
      </w:r>
      <w:r>
        <w:rPr>
          <w:rFonts w:hint="eastAsia"/>
          <w:sz w:val="24"/>
          <w:szCs w:val="24"/>
          <w:highlight w:val="none"/>
        </w:rPr>
        <w:t>月份立项，</w:t>
      </w:r>
      <w:r>
        <w:rPr>
          <w:rFonts w:hint="eastAsia"/>
          <w:sz w:val="24"/>
          <w:szCs w:val="24"/>
        </w:rPr>
        <w:t>由浙江</w:t>
      </w:r>
      <w:r>
        <w:rPr>
          <w:rFonts w:hint="eastAsia"/>
          <w:sz w:val="24"/>
          <w:szCs w:val="24"/>
          <w:highlight w:val="none"/>
        </w:rPr>
        <w:t>省</w:t>
      </w:r>
      <w:r>
        <w:rPr>
          <w:rFonts w:hint="eastAsia"/>
          <w:sz w:val="24"/>
          <w:szCs w:val="24"/>
          <w:highlight w:val="none"/>
          <w:lang w:val="en-US" w:eastAsia="zh-CN"/>
        </w:rPr>
        <w:t>质量</w:t>
      </w:r>
      <w:r>
        <w:rPr>
          <w:rFonts w:hint="eastAsia"/>
          <w:sz w:val="24"/>
          <w:szCs w:val="24"/>
          <w:highlight w:val="none"/>
        </w:rPr>
        <w:t>科学研究院</w:t>
      </w:r>
      <w:r>
        <w:rPr>
          <w:rFonts w:hint="eastAsia"/>
          <w:sz w:val="24"/>
          <w:szCs w:val="24"/>
          <w:highlight w:val="none"/>
          <w:lang w:eastAsia="zh-CN"/>
        </w:rPr>
        <w:t>、</w:t>
      </w:r>
      <w:r>
        <w:rPr>
          <w:rFonts w:hint="eastAsia"/>
          <w:sz w:val="24"/>
          <w:szCs w:val="24"/>
          <w:highlight w:val="none"/>
          <w:lang w:val="en-US" w:eastAsia="zh-CN"/>
        </w:rPr>
        <w:t>广东</w:t>
      </w:r>
      <w:r>
        <w:rPr>
          <w:rFonts w:hint="eastAsia"/>
          <w:sz w:val="24"/>
          <w:szCs w:val="24"/>
          <w:highlight w:val="none"/>
        </w:rPr>
        <w:t>省计量科学研究院</w:t>
      </w:r>
      <w:r>
        <w:rPr>
          <w:rFonts w:hint="eastAsia"/>
          <w:sz w:val="24"/>
          <w:szCs w:val="24"/>
          <w:highlight w:val="none"/>
          <w:lang w:eastAsia="zh-CN"/>
        </w:rPr>
        <w:t>、</w:t>
      </w:r>
      <w:r>
        <w:rPr>
          <w:rFonts w:hint="eastAsia"/>
          <w:sz w:val="24"/>
          <w:szCs w:val="24"/>
          <w:highlight w:val="none"/>
        </w:rPr>
        <w:t>上海市计量测试技术研究院有限公司</w:t>
      </w:r>
      <w:r>
        <w:rPr>
          <w:rFonts w:hint="eastAsia"/>
          <w:sz w:val="24"/>
          <w:szCs w:val="24"/>
          <w:highlight w:val="none"/>
          <w:lang w:eastAsia="zh-CN"/>
        </w:rPr>
        <w:t>、新疆维吾尔自治区计量测试研究院、</w:t>
      </w:r>
      <w:r>
        <w:rPr>
          <w:rFonts w:hint="eastAsia"/>
          <w:sz w:val="24"/>
          <w:szCs w:val="24"/>
          <w:highlight w:val="none"/>
          <w:lang w:val="en-US" w:eastAsia="zh-CN"/>
        </w:rPr>
        <w:t>山东</w:t>
      </w:r>
      <w:r>
        <w:rPr>
          <w:rFonts w:hint="eastAsia"/>
          <w:sz w:val="24"/>
          <w:szCs w:val="24"/>
          <w:highlight w:val="none"/>
        </w:rPr>
        <w:t>省计量科学研究院</w:t>
      </w:r>
      <w:r>
        <w:rPr>
          <w:rFonts w:hint="eastAsia"/>
          <w:sz w:val="24"/>
          <w:szCs w:val="24"/>
          <w:highlight w:val="none"/>
          <w:lang w:eastAsia="zh-CN"/>
        </w:rPr>
        <w:t>、</w:t>
      </w:r>
      <w:r>
        <w:rPr>
          <w:rFonts w:hint="eastAsia"/>
          <w:sz w:val="24"/>
          <w:szCs w:val="24"/>
          <w:highlight w:val="none"/>
          <w:lang w:val="en-US" w:eastAsia="zh-CN"/>
        </w:rPr>
        <w:t>湖州唯立科技仪表有限公司等单位</w:t>
      </w:r>
      <w:r>
        <w:rPr>
          <w:rFonts w:hint="eastAsia"/>
          <w:sz w:val="24"/>
          <w:szCs w:val="24"/>
          <w:highlight w:val="none"/>
        </w:rPr>
        <w:t>共同承担起草工作。</w:t>
      </w:r>
    </w:p>
    <w:p w14:paraId="0EF56B09">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kern w:val="0"/>
          <w:sz w:val="28"/>
          <w:szCs w:val="28"/>
        </w:rPr>
      </w:pPr>
      <w:r>
        <w:rPr>
          <w:kern w:val="0"/>
          <w:sz w:val="28"/>
          <w:szCs w:val="28"/>
        </w:rPr>
        <w:t xml:space="preserve">1.2 </w:t>
      </w:r>
      <w:r>
        <w:rPr>
          <w:rFonts w:hint="eastAsia"/>
          <w:kern w:val="0"/>
          <w:sz w:val="28"/>
          <w:szCs w:val="28"/>
        </w:rPr>
        <w:t>制定背景</w:t>
      </w:r>
    </w:p>
    <w:p w14:paraId="3446F2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1.2.1使用需求分析</w:t>
      </w:r>
    </w:p>
    <w:p w14:paraId="4E15BEC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随着各行业对高温段校准需求的增长以及校准准确性要求的提高，在</w:t>
      </w:r>
      <w:r>
        <w:rPr>
          <w:rFonts w:hint="default"/>
          <w:sz w:val="24"/>
          <w:szCs w:val="24"/>
          <w:highlight w:val="none"/>
          <w:lang w:val="en-US" w:eastAsia="zh-CN"/>
        </w:rPr>
        <w:t>300℃~660℃</w:t>
      </w:r>
      <w:r>
        <w:rPr>
          <w:rFonts w:hint="eastAsia"/>
          <w:sz w:val="24"/>
          <w:szCs w:val="24"/>
          <w:highlight w:val="none"/>
          <w:lang w:val="en-US" w:eastAsia="zh-CN"/>
        </w:rPr>
        <w:t>的工作范围内，传统卧式检定炉、温度校验炉等温度源的温度均匀度、温度波动度已经不能满足使用需求（见表1所示），越来越多部门开始使用恒温盐槽。由于恒温盐槽的工作空间内使用液体盐浴作为导热介质，从而使其具有良好的热交换能力，温度性能显著更高，远高于卧式检定炉、温度校验炉等类空气浴温度源。</w:t>
      </w:r>
    </w:p>
    <w:tbl>
      <w:tblPr>
        <w:tblStyle w:val="11"/>
        <w:tblpPr w:leftFromText="180" w:rightFromText="180" w:vertAnchor="text" w:horzAnchor="page" w:tblpX="1882" w:tblpY="394"/>
        <w:tblOverlap w:val="never"/>
        <w:tblW w:w="8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4"/>
        <w:gridCol w:w="1970"/>
        <w:gridCol w:w="3358"/>
      </w:tblGrid>
      <w:tr w14:paraId="4637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134" w:type="dxa"/>
            <w:noWrap w:val="0"/>
            <w:vAlign w:val="center"/>
          </w:tcPr>
          <w:p w14:paraId="3B512275">
            <w:pPr>
              <w:keepNext w:val="0"/>
              <w:keepLines w:val="0"/>
              <w:widowControl/>
              <w:suppressLineNumbers w:val="0"/>
              <w:jc w:val="center"/>
              <w:textAlignment w:val="center"/>
              <w:rPr>
                <w:rFonts w:hint="default"/>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技术规范代号、名称</w:t>
            </w:r>
          </w:p>
        </w:tc>
        <w:tc>
          <w:tcPr>
            <w:tcW w:w="1970" w:type="dxa"/>
            <w:noWrap w:val="0"/>
            <w:vAlign w:val="center"/>
          </w:tcPr>
          <w:p w14:paraId="21DB1680">
            <w:pPr>
              <w:keepNext w:val="0"/>
              <w:keepLines w:val="0"/>
              <w:widowControl/>
              <w:suppressLineNumbers w:val="0"/>
              <w:jc w:val="center"/>
              <w:textAlignment w:val="center"/>
              <w:rPr>
                <w:rFonts w:hint="eastAsia"/>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温度范围</w:t>
            </w:r>
          </w:p>
        </w:tc>
        <w:tc>
          <w:tcPr>
            <w:tcW w:w="3358" w:type="dxa"/>
            <w:noWrap w:val="0"/>
            <w:vAlign w:val="center"/>
          </w:tcPr>
          <w:p w14:paraId="50D6A255">
            <w:pPr>
              <w:keepNext w:val="0"/>
              <w:keepLines w:val="0"/>
              <w:widowControl/>
              <w:suppressLineNumbers w:val="0"/>
              <w:jc w:val="center"/>
              <w:textAlignment w:val="center"/>
              <w:rPr>
                <w:rFonts w:hint="eastAsia"/>
                <w:sz w:val="21"/>
                <w:szCs w:val="21"/>
                <w:vertAlign w:val="baseline"/>
                <w:lang w:val="en-US" w:eastAsia="zh-CN"/>
              </w:rPr>
            </w:pPr>
            <w:r>
              <w:rPr>
                <w:rStyle w:val="20"/>
                <w:sz w:val="21"/>
                <w:szCs w:val="21"/>
                <w:lang w:val="en-US" w:eastAsia="zh-CN" w:bidi="ar"/>
              </w:rPr>
              <w:t>技术要求</w:t>
            </w:r>
          </w:p>
        </w:tc>
      </w:tr>
      <w:tr w14:paraId="3740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4" w:type="dxa"/>
            <w:noWrap w:val="0"/>
            <w:vAlign w:val="center"/>
          </w:tcPr>
          <w:p w14:paraId="76525243">
            <w:pPr>
              <w:jc w:val="center"/>
              <w:rPr>
                <w:rFonts w:hint="eastAsia"/>
                <w:sz w:val="21"/>
                <w:szCs w:val="21"/>
                <w:vertAlign w:val="baseline"/>
                <w:lang w:val="en-US" w:eastAsia="zh-CN"/>
              </w:rPr>
            </w:pPr>
            <w:r>
              <w:rPr>
                <w:rFonts w:hint="eastAsia"/>
                <w:sz w:val="21"/>
                <w:szCs w:val="21"/>
                <w:vertAlign w:val="baseline"/>
                <w:lang w:val="en-US" w:eastAsia="zh-CN"/>
              </w:rPr>
              <w:t>JJF 1171-2024 温湿度巡回检测仪校准规范</w:t>
            </w:r>
          </w:p>
        </w:tc>
        <w:tc>
          <w:tcPr>
            <w:tcW w:w="1970" w:type="dxa"/>
            <w:noWrap w:val="0"/>
            <w:vAlign w:val="center"/>
          </w:tcPr>
          <w:p w14:paraId="6028A537">
            <w:pPr>
              <w:jc w:val="center"/>
              <w:rPr>
                <w:rFonts w:hint="eastAsia"/>
                <w:sz w:val="21"/>
                <w:szCs w:val="21"/>
                <w:vertAlign w:val="baseline"/>
                <w:lang w:val="en-US" w:eastAsia="zh-CN"/>
              </w:rPr>
            </w:pPr>
            <w:r>
              <w:rPr>
                <w:rFonts w:hint="eastAsia"/>
                <w:sz w:val="21"/>
                <w:szCs w:val="21"/>
                <w:vertAlign w:val="baseline"/>
                <w:lang w:val="en-US" w:eastAsia="zh-CN"/>
              </w:rPr>
              <w:t>300℃~600℃</w:t>
            </w:r>
          </w:p>
        </w:tc>
        <w:tc>
          <w:tcPr>
            <w:tcW w:w="3358" w:type="dxa"/>
            <w:noWrap w:val="0"/>
            <w:vAlign w:val="center"/>
          </w:tcPr>
          <w:p w14:paraId="43FB6FCA">
            <w:pPr>
              <w:jc w:val="center"/>
              <w:rPr>
                <w:rFonts w:hint="eastAsia"/>
                <w:sz w:val="21"/>
                <w:szCs w:val="21"/>
                <w:vertAlign w:val="baseline"/>
                <w:lang w:val="en-US" w:eastAsia="zh-CN"/>
              </w:rPr>
            </w:pPr>
            <w:r>
              <w:rPr>
                <w:rFonts w:hint="eastAsia"/>
                <w:sz w:val="21"/>
                <w:szCs w:val="21"/>
                <w:vertAlign w:val="baseline"/>
                <w:lang w:val="en-US" w:eastAsia="zh-CN"/>
              </w:rPr>
              <w:t>工作区域水平温差0.05℃</w:t>
            </w:r>
          </w:p>
          <w:p w14:paraId="2A8D64D2">
            <w:pPr>
              <w:jc w:val="center"/>
              <w:rPr>
                <w:rFonts w:hint="eastAsia"/>
                <w:sz w:val="21"/>
                <w:szCs w:val="21"/>
                <w:vertAlign w:val="baseline"/>
                <w:lang w:val="en-US" w:eastAsia="zh-CN"/>
              </w:rPr>
            </w:pPr>
            <w:r>
              <w:rPr>
                <w:rFonts w:hint="eastAsia"/>
                <w:sz w:val="21"/>
                <w:szCs w:val="21"/>
                <w:vertAlign w:val="baseline"/>
                <w:lang w:val="en-US" w:eastAsia="zh-CN"/>
              </w:rPr>
              <w:t>工作区域最大温差0.10℃</w:t>
            </w:r>
          </w:p>
          <w:p w14:paraId="405FB71D">
            <w:pPr>
              <w:jc w:val="center"/>
              <w:rPr>
                <w:rFonts w:hint="eastAsia"/>
                <w:sz w:val="21"/>
                <w:szCs w:val="21"/>
                <w:vertAlign w:val="baseline"/>
                <w:lang w:val="en-US" w:eastAsia="zh-CN"/>
              </w:rPr>
            </w:pPr>
            <w:r>
              <w:rPr>
                <w:rFonts w:hint="eastAsia"/>
                <w:sz w:val="21"/>
                <w:szCs w:val="21"/>
                <w:vertAlign w:val="baseline"/>
                <w:lang w:val="en-US" w:eastAsia="zh-CN"/>
              </w:rPr>
              <w:t>温度波动度0.05℃/10min</w:t>
            </w:r>
          </w:p>
        </w:tc>
      </w:tr>
      <w:tr w14:paraId="740B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34" w:type="dxa"/>
            <w:noWrap w:val="0"/>
            <w:vAlign w:val="center"/>
          </w:tcPr>
          <w:p w14:paraId="616DD7E0">
            <w:pPr>
              <w:jc w:val="center"/>
              <w:rPr>
                <w:rFonts w:hint="eastAsia"/>
                <w:sz w:val="21"/>
                <w:szCs w:val="21"/>
                <w:vertAlign w:val="baseline"/>
                <w:lang w:val="en-US" w:eastAsia="zh-CN"/>
              </w:rPr>
            </w:pPr>
            <w:r>
              <w:rPr>
                <w:rFonts w:hint="eastAsia"/>
                <w:sz w:val="21"/>
                <w:szCs w:val="21"/>
                <w:vertAlign w:val="baseline"/>
                <w:lang w:val="en-US" w:eastAsia="zh-CN"/>
              </w:rPr>
              <w:t>JJF 1366-2012 温度数据采集仪校准规范</w:t>
            </w:r>
          </w:p>
        </w:tc>
        <w:tc>
          <w:tcPr>
            <w:tcW w:w="1970" w:type="dxa"/>
            <w:noWrap w:val="0"/>
            <w:vAlign w:val="center"/>
          </w:tcPr>
          <w:p w14:paraId="712E5000">
            <w:pPr>
              <w:jc w:val="center"/>
              <w:rPr>
                <w:rFonts w:hint="eastAsia"/>
                <w:sz w:val="21"/>
                <w:szCs w:val="21"/>
                <w:vertAlign w:val="baseline"/>
                <w:lang w:val="en-US" w:eastAsia="zh-CN"/>
              </w:rPr>
            </w:pPr>
            <w:r>
              <w:rPr>
                <w:rFonts w:hint="eastAsia"/>
                <w:sz w:val="21"/>
                <w:szCs w:val="21"/>
                <w:vertAlign w:val="baseline"/>
                <w:lang w:val="en-US" w:eastAsia="zh-CN"/>
              </w:rPr>
              <w:t>-80℃~500℃</w:t>
            </w:r>
          </w:p>
        </w:tc>
        <w:tc>
          <w:tcPr>
            <w:tcW w:w="3358" w:type="dxa"/>
            <w:noWrap w:val="0"/>
            <w:vAlign w:val="center"/>
          </w:tcPr>
          <w:p w14:paraId="2D304A8F">
            <w:pPr>
              <w:jc w:val="center"/>
              <w:rPr>
                <w:rFonts w:hint="eastAsia"/>
                <w:sz w:val="21"/>
                <w:szCs w:val="21"/>
                <w:vertAlign w:val="baseline"/>
                <w:lang w:val="en-US" w:eastAsia="zh-CN"/>
              </w:rPr>
            </w:pPr>
            <w:r>
              <w:rPr>
                <w:rFonts w:hint="eastAsia"/>
                <w:sz w:val="21"/>
                <w:szCs w:val="21"/>
                <w:vertAlign w:val="baseline"/>
                <w:lang w:val="en-US" w:eastAsia="zh-CN"/>
              </w:rPr>
              <w:t>均匀度不超过0.01℃</w:t>
            </w:r>
          </w:p>
          <w:p w14:paraId="7A0E195B">
            <w:pPr>
              <w:jc w:val="center"/>
              <w:rPr>
                <w:rFonts w:hint="eastAsia"/>
                <w:sz w:val="21"/>
                <w:szCs w:val="21"/>
                <w:vertAlign w:val="baseline"/>
                <w:lang w:val="en-US" w:eastAsia="zh-CN"/>
              </w:rPr>
            </w:pPr>
            <w:r>
              <w:rPr>
                <w:rFonts w:hint="eastAsia"/>
                <w:sz w:val="21"/>
                <w:szCs w:val="21"/>
                <w:vertAlign w:val="baseline"/>
                <w:lang w:val="en-US" w:eastAsia="zh-CN"/>
              </w:rPr>
              <w:t>波动度不超过0.02℃/10min</w:t>
            </w:r>
          </w:p>
        </w:tc>
      </w:tr>
      <w:tr w14:paraId="235A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3134" w:type="dxa"/>
            <w:noWrap w:val="0"/>
            <w:vAlign w:val="center"/>
          </w:tcPr>
          <w:p w14:paraId="02F5C2F3">
            <w:pPr>
              <w:jc w:val="center"/>
              <w:rPr>
                <w:rFonts w:hint="eastAsia"/>
                <w:sz w:val="21"/>
                <w:szCs w:val="21"/>
                <w:vertAlign w:val="baseline"/>
                <w:lang w:val="en-US" w:eastAsia="zh-CN"/>
              </w:rPr>
            </w:pPr>
            <w:r>
              <w:rPr>
                <w:rFonts w:hint="eastAsia"/>
                <w:sz w:val="21"/>
                <w:szCs w:val="21"/>
                <w:vertAlign w:val="baseline"/>
                <w:lang w:val="en-US" w:eastAsia="zh-CN"/>
              </w:rPr>
              <w:t>JJG 130-2011工作用玻璃液体温度计</w:t>
            </w:r>
          </w:p>
        </w:tc>
        <w:tc>
          <w:tcPr>
            <w:tcW w:w="1970" w:type="dxa"/>
            <w:noWrap w:val="0"/>
            <w:vAlign w:val="center"/>
          </w:tcPr>
          <w:p w14:paraId="3AFD1EB5">
            <w:pPr>
              <w:jc w:val="center"/>
              <w:rPr>
                <w:rFonts w:hint="eastAsia"/>
                <w:sz w:val="21"/>
                <w:szCs w:val="21"/>
                <w:vertAlign w:val="baseline"/>
                <w:lang w:val="en-US" w:eastAsia="zh-CN"/>
              </w:rPr>
            </w:pPr>
            <w:r>
              <w:rPr>
                <w:rFonts w:hint="eastAsia"/>
                <w:sz w:val="21"/>
                <w:szCs w:val="21"/>
                <w:vertAlign w:val="baseline"/>
                <w:lang w:val="en-US" w:eastAsia="zh-CN"/>
              </w:rPr>
              <w:t>300℃~600℃</w:t>
            </w:r>
          </w:p>
        </w:tc>
        <w:tc>
          <w:tcPr>
            <w:tcW w:w="3358" w:type="dxa"/>
            <w:noWrap w:val="0"/>
            <w:vAlign w:val="center"/>
          </w:tcPr>
          <w:p w14:paraId="09879790">
            <w:pPr>
              <w:jc w:val="center"/>
              <w:rPr>
                <w:rFonts w:hint="eastAsia"/>
                <w:sz w:val="21"/>
                <w:szCs w:val="21"/>
                <w:vertAlign w:val="baseline"/>
                <w:lang w:val="en-US" w:eastAsia="zh-CN"/>
              </w:rPr>
            </w:pPr>
            <w:r>
              <w:rPr>
                <w:rFonts w:hint="eastAsia"/>
                <w:sz w:val="21"/>
                <w:szCs w:val="21"/>
                <w:vertAlign w:val="baseline"/>
                <w:lang w:val="en-US" w:eastAsia="zh-CN"/>
              </w:rPr>
              <w:t>工作区域水平温差0.10℃</w:t>
            </w:r>
          </w:p>
          <w:p w14:paraId="68A8BC43">
            <w:pPr>
              <w:jc w:val="center"/>
              <w:rPr>
                <w:rFonts w:hint="eastAsia"/>
                <w:sz w:val="21"/>
                <w:szCs w:val="21"/>
                <w:vertAlign w:val="baseline"/>
                <w:lang w:val="en-US" w:eastAsia="zh-CN"/>
              </w:rPr>
            </w:pPr>
            <w:r>
              <w:rPr>
                <w:rFonts w:hint="eastAsia"/>
                <w:sz w:val="21"/>
                <w:szCs w:val="21"/>
                <w:vertAlign w:val="baseline"/>
                <w:lang w:val="en-US" w:eastAsia="zh-CN"/>
              </w:rPr>
              <w:t>工作区域最大温差0.20℃</w:t>
            </w:r>
          </w:p>
          <w:p w14:paraId="518C0CB2">
            <w:pPr>
              <w:jc w:val="center"/>
              <w:rPr>
                <w:rFonts w:hint="eastAsia"/>
                <w:sz w:val="21"/>
                <w:szCs w:val="21"/>
                <w:vertAlign w:val="baseline"/>
                <w:lang w:val="en-US" w:eastAsia="zh-CN"/>
              </w:rPr>
            </w:pPr>
            <w:r>
              <w:rPr>
                <w:rFonts w:hint="eastAsia"/>
                <w:sz w:val="21"/>
                <w:szCs w:val="21"/>
                <w:vertAlign w:val="baseline"/>
                <w:lang w:val="en-US" w:eastAsia="zh-CN"/>
              </w:rPr>
              <w:t>温度波动度0.20℃/10min</w:t>
            </w:r>
          </w:p>
        </w:tc>
      </w:tr>
      <w:tr w14:paraId="46A4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3134" w:type="dxa"/>
            <w:noWrap w:val="0"/>
            <w:vAlign w:val="center"/>
          </w:tcPr>
          <w:p w14:paraId="6446A457">
            <w:pPr>
              <w:jc w:val="center"/>
              <w:rPr>
                <w:rFonts w:hint="eastAsia"/>
                <w:sz w:val="21"/>
                <w:szCs w:val="21"/>
                <w:vertAlign w:val="baseline"/>
                <w:lang w:val="en-US" w:eastAsia="zh-CN"/>
              </w:rPr>
            </w:pPr>
            <w:r>
              <w:rPr>
                <w:rFonts w:hint="eastAsia"/>
                <w:sz w:val="21"/>
                <w:szCs w:val="21"/>
                <w:vertAlign w:val="baseline"/>
                <w:lang w:val="en-US" w:eastAsia="zh-CN"/>
              </w:rPr>
              <w:t>JJF 1909-2021压力式温度计校准规范</w:t>
            </w:r>
          </w:p>
        </w:tc>
        <w:tc>
          <w:tcPr>
            <w:tcW w:w="1970" w:type="dxa"/>
            <w:noWrap w:val="0"/>
            <w:vAlign w:val="center"/>
          </w:tcPr>
          <w:p w14:paraId="4795871C">
            <w:pPr>
              <w:jc w:val="center"/>
              <w:rPr>
                <w:rFonts w:hint="eastAsia"/>
                <w:sz w:val="21"/>
                <w:szCs w:val="21"/>
                <w:vertAlign w:val="baseline"/>
                <w:lang w:val="en-US" w:eastAsia="zh-CN"/>
              </w:rPr>
            </w:pPr>
            <w:r>
              <w:rPr>
                <w:rFonts w:hint="eastAsia"/>
                <w:sz w:val="21"/>
                <w:szCs w:val="21"/>
                <w:vertAlign w:val="baseline"/>
                <w:lang w:val="en-US" w:eastAsia="zh-CN"/>
              </w:rPr>
              <w:t>300℃~600℃</w:t>
            </w:r>
          </w:p>
        </w:tc>
        <w:tc>
          <w:tcPr>
            <w:tcW w:w="3358" w:type="dxa"/>
            <w:noWrap w:val="0"/>
            <w:vAlign w:val="center"/>
          </w:tcPr>
          <w:p w14:paraId="69F9EEDE">
            <w:pPr>
              <w:jc w:val="center"/>
              <w:rPr>
                <w:rFonts w:hint="eastAsia"/>
                <w:sz w:val="21"/>
                <w:szCs w:val="21"/>
                <w:vertAlign w:val="baseline"/>
                <w:lang w:val="en-US" w:eastAsia="zh-CN"/>
              </w:rPr>
            </w:pPr>
            <w:r>
              <w:rPr>
                <w:rFonts w:hint="eastAsia"/>
                <w:sz w:val="21"/>
                <w:szCs w:val="21"/>
                <w:vertAlign w:val="baseline"/>
                <w:lang w:val="en-US" w:eastAsia="zh-CN"/>
              </w:rPr>
              <w:t>工作区域水平温差0.20℃</w:t>
            </w:r>
          </w:p>
          <w:p w14:paraId="27028C5F">
            <w:pPr>
              <w:jc w:val="center"/>
              <w:rPr>
                <w:rFonts w:hint="eastAsia"/>
                <w:sz w:val="21"/>
                <w:szCs w:val="21"/>
                <w:vertAlign w:val="baseline"/>
                <w:lang w:val="en-US" w:eastAsia="zh-CN"/>
              </w:rPr>
            </w:pPr>
            <w:r>
              <w:rPr>
                <w:rFonts w:hint="eastAsia"/>
                <w:sz w:val="21"/>
                <w:szCs w:val="21"/>
                <w:vertAlign w:val="baseline"/>
                <w:lang w:val="en-US" w:eastAsia="zh-CN"/>
              </w:rPr>
              <w:t>工作区域最大温差0.40℃</w:t>
            </w:r>
          </w:p>
          <w:p w14:paraId="00953389">
            <w:pPr>
              <w:jc w:val="center"/>
              <w:rPr>
                <w:rFonts w:hint="eastAsia"/>
                <w:sz w:val="21"/>
                <w:szCs w:val="21"/>
                <w:vertAlign w:val="baseline"/>
                <w:lang w:val="en-US" w:eastAsia="zh-CN"/>
              </w:rPr>
            </w:pPr>
            <w:r>
              <w:rPr>
                <w:rFonts w:hint="eastAsia"/>
                <w:sz w:val="21"/>
                <w:szCs w:val="21"/>
                <w:vertAlign w:val="baseline"/>
                <w:lang w:val="en-US" w:eastAsia="zh-CN"/>
              </w:rPr>
              <w:t>温度波动度0.50℃/10min</w:t>
            </w:r>
          </w:p>
        </w:tc>
      </w:tr>
      <w:tr w14:paraId="793E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3134" w:type="dxa"/>
            <w:noWrap w:val="0"/>
            <w:vAlign w:val="center"/>
          </w:tcPr>
          <w:p w14:paraId="335BA209">
            <w:pPr>
              <w:jc w:val="center"/>
              <w:rPr>
                <w:rFonts w:hint="eastAsia"/>
                <w:sz w:val="21"/>
                <w:szCs w:val="21"/>
                <w:vertAlign w:val="baseline"/>
                <w:lang w:val="en-US" w:eastAsia="zh-CN"/>
              </w:rPr>
            </w:pPr>
            <w:r>
              <w:rPr>
                <w:rFonts w:hint="eastAsia"/>
                <w:sz w:val="21"/>
                <w:szCs w:val="21"/>
                <w:vertAlign w:val="baseline"/>
                <w:lang w:val="en-US" w:eastAsia="zh-CN"/>
              </w:rPr>
              <w:t>JJF 1908-2021双金属温度计校准规范</w:t>
            </w:r>
          </w:p>
        </w:tc>
        <w:tc>
          <w:tcPr>
            <w:tcW w:w="1970" w:type="dxa"/>
            <w:noWrap w:val="0"/>
            <w:vAlign w:val="center"/>
          </w:tcPr>
          <w:p w14:paraId="50CD39D2">
            <w:pPr>
              <w:jc w:val="center"/>
              <w:rPr>
                <w:rFonts w:hint="eastAsia"/>
                <w:sz w:val="21"/>
                <w:szCs w:val="21"/>
                <w:vertAlign w:val="baseline"/>
                <w:lang w:val="en-US" w:eastAsia="zh-CN"/>
              </w:rPr>
            </w:pPr>
            <w:r>
              <w:rPr>
                <w:rFonts w:hint="eastAsia"/>
                <w:sz w:val="21"/>
                <w:szCs w:val="21"/>
                <w:vertAlign w:val="baseline"/>
                <w:lang w:val="en-US" w:eastAsia="zh-CN"/>
              </w:rPr>
              <w:t>300℃~500℃</w:t>
            </w:r>
          </w:p>
        </w:tc>
        <w:tc>
          <w:tcPr>
            <w:tcW w:w="3358" w:type="dxa"/>
            <w:noWrap w:val="0"/>
            <w:vAlign w:val="center"/>
          </w:tcPr>
          <w:p w14:paraId="517ACB16">
            <w:pPr>
              <w:jc w:val="center"/>
              <w:rPr>
                <w:rFonts w:hint="eastAsia"/>
                <w:sz w:val="21"/>
                <w:szCs w:val="21"/>
                <w:vertAlign w:val="baseline"/>
                <w:lang w:val="en-US" w:eastAsia="zh-CN"/>
              </w:rPr>
            </w:pPr>
            <w:r>
              <w:rPr>
                <w:rFonts w:hint="eastAsia"/>
                <w:sz w:val="21"/>
                <w:szCs w:val="21"/>
                <w:vertAlign w:val="baseline"/>
                <w:lang w:val="en-US" w:eastAsia="zh-CN"/>
              </w:rPr>
              <w:t>工作区域水平温差0.20℃</w:t>
            </w:r>
          </w:p>
          <w:p w14:paraId="36EFE68B">
            <w:pPr>
              <w:jc w:val="center"/>
              <w:rPr>
                <w:rFonts w:hint="eastAsia"/>
                <w:sz w:val="21"/>
                <w:szCs w:val="21"/>
                <w:vertAlign w:val="baseline"/>
                <w:lang w:val="en-US" w:eastAsia="zh-CN"/>
              </w:rPr>
            </w:pPr>
            <w:r>
              <w:rPr>
                <w:rFonts w:hint="eastAsia"/>
                <w:sz w:val="21"/>
                <w:szCs w:val="21"/>
                <w:vertAlign w:val="baseline"/>
                <w:lang w:val="en-US" w:eastAsia="zh-CN"/>
              </w:rPr>
              <w:t>工作区域最大温差0.40℃</w:t>
            </w:r>
          </w:p>
          <w:p w14:paraId="74C03C00">
            <w:pPr>
              <w:jc w:val="center"/>
              <w:rPr>
                <w:rFonts w:hint="eastAsia"/>
                <w:sz w:val="21"/>
                <w:szCs w:val="21"/>
                <w:vertAlign w:val="baseline"/>
                <w:lang w:val="en-US" w:eastAsia="zh-CN"/>
              </w:rPr>
            </w:pPr>
            <w:r>
              <w:rPr>
                <w:rFonts w:hint="eastAsia"/>
                <w:sz w:val="21"/>
                <w:szCs w:val="21"/>
                <w:vertAlign w:val="baseline"/>
                <w:lang w:val="en-US" w:eastAsia="zh-CN"/>
              </w:rPr>
              <w:t>温度波动度0.50℃/10min</w:t>
            </w:r>
          </w:p>
        </w:tc>
      </w:tr>
    </w:tbl>
    <w:p w14:paraId="5128421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仿宋" w:hAnsi="仿宋" w:eastAsia="仿宋" w:cs="仿宋"/>
          <w:kern w:val="0"/>
          <w:sz w:val="21"/>
          <w:szCs w:val="21"/>
          <w:lang w:val="en-US" w:eastAsia="zh-CN"/>
        </w:rPr>
      </w:pPr>
      <w:r>
        <w:rPr>
          <w:rFonts w:hint="eastAsia"/>
          <w:sz w:val="21"/>
          <w:szCs w:val="21"/>
          <w:lang w:val="en-US" w:eastAsia="zh-CN"/>
        </w:rPr>
        <w:t>表1 部分规程、规范对于300℃~600℃温度源的技术要求</w:t>
      </w:r>
    </w:p>
    <w:p w14:paraId="69972D0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1.2.2</w:t>
      </w:r>
      <w:r>
        <w:rPr>
          <w:rFonts w:hint="eastAsia" w:ascii="Times New Roman" w:hAnsi="Times New Roman" w:eastAsia="仿宋" w:cs="Times New Roman"/>
          <w:b/>
          <w:bCs/>
          <w:kern w:val="0"/>
          <w:sz w:val="28"/>
          <w:szCs w:val="28"/>
          <w:lang w:val="en-US" w:eastAsia="zh-CN"/>
        </w:rPr>
        <w:t>校准方法现状分析</w:t>
      </w:r>
    </w:p>
    <w:p w14:paraId="4C6A738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目前，针对恒温盐槽的校准方法欠缺，从国内发布的相关技术规范（见表2）来看，均不能满足该类恒温源的校准需求。</w:t>
      </w:r>
    </w:p>
    <w:p w14:paraId="25B8D84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center"/>
        <w:textAlignment w:val="auto"/>
        <w:rPr>
          <w:rFonts w:hint="eastAsia" w:ascii="Times New Roman" w:hAnsi="Times New Roman" w:eastAsia="仿宋" w:cs="Times New Roman"/>
          <w:kern w:val="0"/>
          <w:sz w:val="24"/>
          <w:lang w:val="en-US" w:eastAsia="zh-CN"/>
        </w:rPr>
      </w:pPr>
      <w:r>
        <w:rPr>
          <w:rFonts w:hint="eastAsia"/>
          <w:lang w:val="en-US" w:eastAsia="zh-CN"/>
        </w:rPr>
        <w:t>表2 相关技术规范及适用范围</w:t>
      </w:r>
    </w:p>
    <w:tbl>
      <w:tblPr>
        <w:tblStyle w:val="11"/>
        <w:tblW w:w="8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0"/>
        <w:gridCol w:w="3750"/>
        <w:gridCol w:w="2083"/>
      </w:tblGrid>
      <w:tr w14:paraId="05CC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800" w:type="dxa"/>
            <w:noWrap w:val="0"/>
            <w:vAlign w:val="center"/>
          </w:tcPr>
          <w:p w14:paraId="236996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kern w:val="0"/>
                <w:sz w:val="24"/>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技术规范</w:t>
            </w:r>
            <w:r>
              <w:rPr>
                <w:rFonts w:hint="eastAsia" w:ascii="Times New Roman" w:hAnsi="Times New Roman" w:eastAsia="宋体" w:cs="Times New Roman"/>
                <w:i w:val="0"/>
                <w:iCs w:val="0"/>
                <w:color w:val="000000"/>
                <w:kern w:val="0"/>
                <w:sz w:val="21"/>
                <w:szCs w:val="21"/>
                <w:u w:val="none"/>
                <w:lang w:val="en-US" w:eastAsia="zh-CN" w:bidi="ar"/>
              </w:rPr>
              <w:t>代号、名称</w:t>
            </w:r>
          </w:p>
        </w:tc>
        <w:tc>
          <w:tcPr>
            <w:tcW w:w="3750" w:type="dxa"/>
            <w:noWrap w:val="0"/>
            <w:vAlign w:val="center"/>
          </w:tcPr>
          <w:p w14:paraId="04FD0B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kern w:val="0"/>
                <w:sz w:val="24"/>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适用范围</w:t>
            </w:r>
          </w:p>
        </w:tc>
        <w:tc>
          <w:tcPr>
            <w:tcW w:w="2083" w:type="dxa"/>
            <w:noWrap w:val="0"/>
            <w:vAlign w:val="center"/>
          </w:tcPr>
          <w:p w14:paraId="4110F0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kern w:val="0"/>
                <w:sz w:val="24"/>
                <w:vertAlign w:val="baseline"/>
                <w:lang w:val="en-US" w:eastAsia="zh-CN"/>
              </w:rPr>
            </w:pPr>
            <w:r>
              <w:rPr>
                <w:rFonts w:hint="eastAsia" w:ascii="Times New Roman" w:hAnsi="Times New Roman" w:eastAsia="宋体" w:cs="Times New Roman"/>
                <w:i w:val="0"/>
                <w:iCs w:val="0"/>
                <w:color w:val="000000"/>
                <w:kern w:val="0"/>
                <w:sz w:val="21"/>
                <w:szCs w:val="21"/>
                <w:u w:val="none"/>
                <w:lang w:val="en-US" w:eastAsia="zh-CN" w:bidi="ar"/>
              </w:rPr>
              <w:t>所使用的标准器</w:t>
            </w:r>
          </w:p>
        </w:tc>
      </w:tr>
      <w:tr w14:paraId="081B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800" w:type="dxa"/>
            <w:noWrap w:val="0"/>
            <w:vAlign w:val="center"/>
          </w:tcPr>
          <w:p w14:paraId="1B4808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JJF 1184-2024 《热电偶检定炉温度场测试技术规范》</w:t>
            </w:r>
          </w:p>
        </w:tc>
        <w:tc>
          <w:tcPr>
            <w:tcW w:w="3750" w:type="dxa"/>
            <w:noWrap w:val="0"/>
            <w:vAlign w:val="center"/>
          </w:tcPr>
          <w:p w14:paraId="1499EF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本规范适用于300°C~1500°C内卧式热电偶检定炉温度场的测试。</w:t>
            </w:r>
          </w:p>
        </w:tc>
        <w:tc>
          <w:tcPr>
            <w:tcW w:w="2083" w:type="dxa"/>
            <w:noWrap w:val="0"/>
            <w:vAlign w:val="center"/>
          </w:tcPr>
          <w:p w14:paraId="167140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标准铂铑</w:t>
            </w:r>
            <w:r>
              <w:rPr>
                <w:rFonts w:hint="default" w:ascii="Times New Roman" w:hAnsi="Times New Roman" w:eastAsia="宋体" w:cs="Times New Roman"/>
                <w:kern w:val="0"/>
                <w:sz w:val="21"/>
                <w:szCs w:val="21"/>
                <w:vertAlign w:val="subscript"/>
                <w:lang w:val="en-US" w:eastAsia="zh-CN"/>
              </w:rPr>
              <w:t>10</w:t>
            </w:r>
            <w:r>
              <w:rPr>
                <w:rFonts w:hint="default" w:ascii="Times New Roman" w:hAnsi="Times New Roman" w:eastAsia="宋体" w:cs="Times New Roman"/>
                <w:kern w:val="0"/>
                <w:sz w:val="21"/>
                <w:szCs w:val="21"/>
                <w:vertAlign w:val="baseline"/>
                <w:lang w:val="en-US" w:eastAsia="zh-CN"/>
              </w:rPr>
              <w:t>-铂热电偶等</w:t>
            </w:r>
          </w:p>
        </w:tc>
      </w:tr>
      <w:tr w14:paraId="0355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center"/>
          </w:tcPr>
          <w:p w14:paraId="0EA435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JJF 1257-2010 《干体式温度校准器校准方法》</w:t>
            </w:r>
          </w:p>
        </w:tc>
        <w:tc>
          <w:tcPr>
            <w:tcW w:w="3750" w:type="dxa"/>
            <w:noWrap w:val="0"/>
            <w:vAlign w:val="center"/>
          </w:tcPr>
          <w:p w14:paraId="4A268B9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本规范中规定的校准方法适用于温度范围-80℃~+1300 ℃的干体式温度校准器</w:t>
            </w:r>
            <w:r>
              <w:rPr>
                <w:rFonts w:hint="eastAsia" w:ascii="Times New Roman" w:hAnsi="Times New Roman" w:eastAsia="宋体" w:cs="Times New Roman"/>
                <w:kern w:val="0"/>
                <w:sz w:val="21"/>
                <w:szCs w:val="21"/>
                <w:vertAlign w:val="baseline"/>
                <w:lang w:val="en-US" w:eastAsia="zh-CN"/>
              </w:rPr>
              <w:t>。</w:t>
            </w:r>
          </w:p>
        </w:tc>
        <w:tc>
          <w:tcPr>
            <w:tcW w:w="2083" w:type="dxa"/>
            <w:noWrap w:val="0"/>
            <w:vAlign w:val="center"/>
          </w:tcPr>
          <w:p w14:paraId="2E0DFB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eastAsia" w:ascii="Times New Roman" w:hAnsi="Times New Roman" w:eastAsia="宋体" w:cs="Times New Roman"/>
                <w:kern w:val="0"/>
                <w:sz w:val="21"/>
                <w:szCs w:val="21"/>
                <w:vertAlign w:val="baseline"/>
                <w:lang w:val="en-US" w:eastAsia="zh-CN"/>
              </w:rPr>
              <w:t>一般使用</w:t>
            </w:r>
            <w:r>
              <w:rPr>
                <w:rFonts w:hint="default" w:ascii="Times New Roman" w:hAnsi="Times New Roman" w:eastAsia="宋体" w:cs="Times New Roman"/>
                <w:kern w:val="0"/>
                <w:sz w:val="21"/>
                <w:szCs w:val="21"/>
                <w:vertAlign w:val="baseline"/>
                <w:lang w:val="en-US" w:eastAsia="zh-CN"/>
              </w:rPr>
              <w:t>二等标准铂电阻温度计</w:t>
            </w:r>
            <w:r>
              <w:rPr>
                <w:rFonts w:hint="eastAsia" w:ascii="Times New Roman" w:hAnsi="Times New Roman" w:eastAsia="宋体" w:cs="Times New Roman"/>
                <w:kern w:val="0"/>
                <w:sz w:val="21"/>
                <w:szCs w:val="21"/>
                <w:vertAlign w:val="baseline"/>
                <w:lang w:val="en-US" w:eastAsia="zh-CN"/>
              </w:rPr>
              <w:t>和</w:t>
            </w:r>
            <w:r>
              <w:rPr>
                <w:rFonts w:hint="default" w:ascii="Times New Roman" w:hAnsi="Times New Roman" w:eastAsia="宋体" w:cs="Times New Roman"/>
                <w:kern w:val="0"/>
                <w:sz w:val="21"/>
                <w:szCs w:val="21"/>
                <w:vertAlign w:val="baseline"/>
                <w:lang w:val="en-US" w:eastAsia="zh-CN"/>
              </w:rPr>
              <w:t>标准铂铑</w:t>
            </w:r>
            <w:r>
              <w:rPr>
                <w:rFonts w:hint="default" w:ascii="Times New Roman" w:hAnsi="Times New Roman" w:eastAsia="宋体" w:cs="Times New Roman"/>
                <w:kern w:val="0"/>
                <w:sz w:val="21"/>
                <w:szCs w:val="21"/>
                <w:vertAlign w:val="subscript"/>
                <w:lang w:val="en-US" w:eastAsia="zh-CN"/>
              </w:rPr>
              <w:t>10</w:t>
            </w:r>
            <w:r>
              <w:rPr>
                <w:rFonts w:hint="default" w:ascii="Times New Roman" w:hAnsi="Times New Roman" w:eastAsia="宋体" w:cs="Times New Roman"/>
                <w:kern w:val="0"/>
                <w:sz w:val="21"/>
                <w:szCs w:val="21"/>
                <w:vertAlign w:val="baseline"/>
                <w:lang w:val="en-US" w:eastAsia="zh-CN"/>
              </w:rPr>
              <w:t>-铂热电偶</w:t>
            </w:r>
          </w:p>
        </w:tc>
      </w:tr>
      <w:tr w14:paraId="1A5F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0" w:type="dxa"/>
            <w:noWrap w:val="0"/>
            <w:vAlign w:val="center"/>
          </w:tcPr>
          <w:p w14:paraId="1572FB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JJF 1030-2023《温度校准用恒温槽技术性能测试规范》</w:t>
            </w:r>
          </w:p>
        </w:tc>
        <w:tc>
          <w:tcPr>
            <w:tcW w:w="3750" w:type="dxa"/>
            <w:noWrap w:val="0"/>
            <w:vAlign w:val="center"/>
          </w:tcPr>
          <w:p w14:paraId="624CA5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本规范适用于温度范围在-80℃~300℃的检定或校准用液体恒温槽</w:t>
            </w:r>
            <w:r>
              <w:rPr>
                <w:rFonts w:hint="eastAsia" w:ascii="Times New Roman" w:hAnsi="Times New Roman" w:eastAsia="宋体" w:cs="Times New Roman"/>
                <w:kern w:val="0"/>
                <w:sz w:val="21"/>
                <w:szCs w:val="21"/>
                <w:vertAlign w:val="baseline"/>
                <w:lang w:val="en-US" w:eastAsia="zh-CN"/>
              </w:rPr>
              <w:t>。</w:t>
            </w:r>
          </w:p>
        </w:tc>
        <w:tc>
          <w:tcPr>
            <w:tcW w:w="2083" w:type="dxa"/>
            <w:noWrap w:val="0"/>
            <w:vAlign w:val="center"/>
          </w:tcPr>
          <w:p w14:paraId="7C222E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二等标准铂电阻温度计</w:t>
            </w:r>
          </w:p>
        </w:tc>
      </w:tr>
      <w:tr w14:paraId="235B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800" w:type="dxa"/>
            <w:noWrap w:val="0"/>
            <w:vAlign w:val="center"/>
          </w:tcPr>
          <w:p w14:paraId="3F746B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sz w:val="21"/>
                <w:szCs w:val="21"/>
              </w:rPr>
              <w:t>JJF 2019-2022《液体恒温试验设备温度性能测试规范》</w:t>
            </w:r>
          </w:p>
        </w:tc>
        <w:tc>
          <w:tcPr>
            <w:tcW w:w="3750" w:type="dxa"/>
            <w:noWrap w:val="0"/>
            <w:vAlign w:val="center"/>
          </w:tcPr>
          <w:p w14:paraId="0F0826A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kern w:val="0"/>
                <w:sz w:val="21"/>
                <w:szCs w:val="21"/>
                <w:vertAlign w:val="baseline"/>
                <w:lang w:val="en-US" w:eastAsia="zh-CN"/>
              </w:rPr>
            </w:pPr>
            <w:r>
              <w:rPr>
                <w:rFonts w:hint="default" w:ascii="Times New Roman" w:hAnsi="Times New Roman" w:eastAsia="宋体" w:cs="Times New Roman"/>
                <w:kern w:val="0"/>
                <w:sz w:val="21"/>
                <w:szCs w:val="21"/>
                <w:vertAlign w:val="baseline"/>
                <w:lang w:val="en-US" w:eastAsia="zh-CN"/>
              </w:rPr>
              <w:t>本规范适用于温度范围在（-80~300）℃的液体恒温试验设备温度性能的测试</w:t>
            </w:r>
            <w:r>
              <w:rPr>
                <w:rFonts w:hint="eastAsia" w:ascii="Times New Roman" w:hAnsi="Times New Roman" w:eastAsia="宋体" w:cs="Times New Roman"/>
                <w:kern w:val="0"/>
                <w:sz w:val="21"/>
                <w:szCs w:val="21"/>
                <w:vertAlign w:val="baseline"/>
                <w:lang w:val="en-US" w:eastAsia="zh-CN"/>
              </w:rPr>
              <w:t>。</w:t>
            </w:r>
          </w:p>
        </w:tc>
        <w:tc>
          <w:tcPr>
            <w:tcW w:w="2083" w:type="dxa"/>
            <w:noWrap w:val="0"/>
            <w:vAlign w:val="center"/>
          </w:tcPr>
          <w:p w14:paraId="334F50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vertAlign w:val="baseline"/>
                <w:lang w:val="en-US" w:eastAsia="zh-CN"/>
              </w:rPr>
            </w:pPr>
            <w:r>
              <w:rPr>
                <w:rFonts w:hint="eastAsia" w:ascii="Times New Roman" w:hAnsi="Times New Roman" w:eastAsia="宋体" w:cs="Times New Roman"/>
                <w:kern w:val="0"/>
                <w:sz w:val="21"/>
                <w:szCs w:val="21"/>
                <w:vertAlign w:val="baseline"/>
                <w:lang w:val="en-US" w:eastAsia="zh-CN"/>
              </w:rPr>
              <w:t>多通道温度测量仪</w:t>
            </w:r>
          </w:p>
        </w:tc>
      </w:tr>
    </w:tbl>
    <w:p w14:paraId="36B908AB">
      <w:pPr>
        <w:pStyle w:val="5"/>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具体分析如下：</w:t>
      </w:r>
    </w:p>
    <w:p w14:paraId="0A284446">
      <w:pPr>
        <w:pStyle w:val="5"/>
        <w:keepNext w:val="0"/>
        <w:keepLines w:val="0"/>
        <w:pageBreakBefore w:val="0"/>
        <w:widowControl w:val="0"/>
        <w:numPr>
          <w:ilvl w:val="0"/>
          <w:numId w:val="1"/>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JJF 1184-2024 《热电偶检定炉温度场测试技术规范》适用于卧式检定炉、退火炉，此类炉主要是由炉膛、电热元件、保温层、外壳等部分组成，其工作原理和结构原理存在较大差异，不能按照该规范进行校准。</w:t>
      </w:r>
    </w:p>
    <w:p w14:paraId="3DF249E5">
      <w:pPr>
        <w:pStyle w:val="5"/>
        <w:keepNext w:val="0"/>
        <w:keepLines w:val="0"/>
        <w:pageBreakBefore w:val="0"/>
        <w:widowControl w:val="0"/>
        <w:numPr>
          <w:ilvl w:val="0"/>
          <w:numId w:val="1"/>
        </w:numPr>
        <w:kinsoku/>
        <w:wordWrap/>
        <w:overflowPunct/>
        <w:topLinePunct w:val="0"/>
        <w:autoSpaceDE w:val="0"/>
        <w:autoSpaceDN w:val="0"/>
        <w:bidi w:val="0"/>
        <w:adjustRightInd/>
        <w:snapToGrid/>
        <w:spacing w:before="40" w:after="0" w:line="360" w:lineRule="auto"/>
        <w:ind w:left="0" w:leftChars="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JJF 1257-2010 《干体式温度校准器校准方法》只适用于干井炉，干体式温度校准器工作原理是通过加热或冷却一个均热块使炉膛达到设定的温度，并保持其温场的温度均匀稳定。被加热的金属恒温块进行导热，为被测量传感器提供一个可调可控的均匀稳定的参考温场，其工作原理和结构原理也同样存在着较大差异，不能按照该规范进行校准。</w:t>
      </w:r>
    </w:p>
    <w:p w14:paraId="71A7ABC5">
      <w:pPr>
        <w:pStyle w:val="5"/>
        <w:keepNext w:val="0"/>
        <w:keepLines w:val="0"/>
        <w:pageBreakBefore w:val="0"/>
        <w:widowControl w:val="0"/>
        <w:numPr>
          <w:ilvl w:val="0"/>
          <w:numId w:val="1"/>
        </w:numPr>
        <w:kinsoku/>
        <w:wordWrap/>
        <w:overflowPunct/>
        <w:topLinePunct w:val="0"/>
        <w:autoSpaceDE w:val="0"/>
        <w:autoSpaceDN w:val="0"/>
        <w:bidi w:val="0"/>
        <w:adjustRightInd/>
        <w:snapToGrid/>
        <w:spacing w:before="40" w:after="0" w:line="360" w:lineRule="auto"/>
        <w:ind w:left="0" w:leftChars="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JJF 1030-2023 《温度校准用恒温槽技术性能测试规范》中适用的恒温槽虽然结构上与恒温盐槽相似，但恒温盐槽有其特殊性，在实际校准工作中也不能完全参考，其主要原因有以下几点：</w:t>
      </w:r>
    </w:p>
    <w:p w14:paraId="7F3285E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（1）适用范围不能完全覆盖。</w:t>
      </w:r>
    </w:p>
    <w:p w14:paraId="0054DFD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规范修订时考虑到恒温盐槽的特殊性，故JJF 1030-2023《温度校准用恒温槽技术性能测试规范》在“范围”规定了“本规范适用于温度范围在-80℃~300℃”的检定或校准用液体恒温槽”，因而300℃~660℃高温盐槽并不能包含在内。</w:t>
      </w:r>
    </w:p>
    <w:p w14:paraId="0DE40E5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（2）标准器高温段使用受限。</w:t>
      </w:r>
    </w:p>
    <w:p w14:paraId="46AFC54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标准铂电阻温度计在450℃或者600℃以上使用时，相当于处于退火过程，会导致铂丝变软、易折断，如果按JJF 1030-2023中的方法测试恒温盐槽的均匀性，在各孔间反复插拔标准铂电阻温度计，又相当于经历了多次的淬火过程，更容易将其折断，况且这期间会产生比较大的应力，对标准铂电阻温度计的损害极大，也直接影响了均匀性校准结果的评价。</w:t>
      </w:r>
    </w:p>
    <w:p w14:paraId="265D5CC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（3）标准器选用单一。</w:t>
      </w:r>
    </w:p>
    <w:p w14:paraId="7C27EC8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JJF 1030-2023规定仅使用标准铂电阻温度计作标准器，但针对高温盐槽的特点以及实际工作情况来看，使用高稳定精密工业铂电阻作标准器可能更适合校准需要，可将具有稳定性高、实用性好、抗震性强、价格相对便宜等众多特点的精密工业铂电阻作为标准器之一，也能大大降低标准器折断风险。针对均匀度要求低于0.2℃的恒温盐槽探索使用标准铂铑10-铂热电偶作标准器，相对于标准铂电阻温度计而言，它具有更好抗震性、热过程不易损坏等优点。</w:t>
      </w:r>
    </w:p>
    <w:p w14:paraId="7BFE5A7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（4）漏热技术难题未体现。</w:t>
      </w:r>
    </w:p>
    <w:p w14:paraId="294D918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恒温盐槽在500℃以上工作时，整个校准过程的漏热影响将会变得非常显著，为客观、完整、准确地反映恒温盐槽的准确技术指标，需要尽可能完全地消除该因素带来的影响量。研究特定方法和研制特殊结构的铂电阻温度计，并使用特殊材料减少漏热影响，解决该技术难题。</w:t>
      </w:r>
    </w:p>
    <w:p w14:paraId="6EB3641F">
      <w:pPr>
        <w:pStyle w:val="5"/>
        <w:keepNext w:val="0"/>
        <w:keepLines w:val="0"/>
        <w:pageBreakBefore w:val="0"/>
        <w:widowControl w:val="0"/>
        <w:numPr>
          <w:ilvl w:val="0"/>
          <w:numId w:val="1"/>
        </w:numPr>
        <w:kinsoku/>
        <w:wordWrap/>
        <w:overflowPunct/>
        <w:topLinePunct w:val="0"/>
        <w:autoSpaceDE w:val="0"/>
        <w:autoSpaceDN w:val="0"/>
        <w:bidi w:val="0"/>
        <w:adjustRightInd/>
        <w:snapToGrid/>
        <w:spacing w:before="40" w:after="0" w:line="360" w:lineRule="auto"/>
        <w:ind w:left="0" w:leftChars="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JJF 2019-2022 《液体恒温试验设备温度性能测试规范》也是针对液体槽性能的测试规范，但也不适用，主要原因如下：</w:t>
      </w:r>
    </w:p>
    <w:p w14:paraId="2E849B1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（1）适用范围不够，该规范只适用于-80℃~300℃。</w:t>
      </w:r>
    </w:p>
    <w:p w14:paraId="1AF002C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（2）标准器不适用，该规范使用温度巡检仪多路直接测量方式，均匀度校准无法消除通道差异，此项标准不确定度分量约0.1℃，因此不适合校准均匀度要求小于0.1℃的恒温液体槽。</w:t>
      </w:r>
    </w:p>
    <w:p w14:paraId="4911199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5. 安全性能要求未体现</w:t>
      </w:r>
    </w:p>
    <w:p w14:paraId="54CA22E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随着恒温盐槽温度的升高，其安全性能尤为关键。根据相关国家标准、国家标准的要求，其表面温度不能高于70℃，应使用相应仪器进行测量与控制，防止烫伤，确保使用中的全过程安全。这方面内容在上述规范中均没有涉及。另外，恒温盐槽在使用中，还需要检查介质是否存在飞溅、温度过冲、液体剧烈滚动等危险现象，以便消除安全隐患。</w:t>
      </w:r>
    </w:p>
    <w:p w14:paraId="7CE21AB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sz w:val="28"/>
          <w:szCs w:val="28"/>
          <w:vertAlign w:val="baseline"/>
          <w:lang w:val="en-US" w:eastAsia="zh-CN"/>
        </w:rPr>
      </w:pPr>
      <w:r>
        <w:rPr>
          <w:rFonts w:hint="eastAsia" w:ascii="仿宋" w:hAnsi="仿宋" w:eastAsia="仿宋" w:cs="仿宋"/>
          <w:b/>
          <w:bCs/>
          <w:kern w:val="0"/>
          <w:sz w:val="28"/>
          <w:szCs w:val="28"/>
          <w:lang w:val="en-US" w:eastAsia="zh-CN"/>
        </w:rPr>
        <w:t xml:space="preserve">1.2.3 </w:t>
      </w:r>
      <w:r>
        <w:rPr>
          <w:rFonts w:hint="eastAsia" w:ascii="仿宋" w:hAnsi="仿宋" w:eastAsia="仿宋" w:cs="仿宋"/>
          <w:b/>
          <w:bCs/>
          <w:sz w:val="28"/>
          <w:szCs w:val="28"/>
          <w:vertAlign w:val="baseline"/>
          <w:lang w:val="en-US" w:eastAsia="zh-CN"/>
        </w:rPr>
        <w:t>生产商标称技术性能评价分析</w:t>
      </w:r>
    </w:p>
    <w:p w14:paraId="471112B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正如表1所示，JJF 1171-2024和JJF 1366-2012对均匀度、波动度要求都要求小于0.1℃，而且目前很多恒温盐槽其标称的均匀度指标优于0.03℃。表3列举了部分厂家型号恒温盐槽的技术指标。</w:t>
      </w:r>
    </w:p>
    <w:p w14:paraId="380329E4">
      <w:pPr>
        <w:keepNext w:val="0"/>
        <w:keepLines w:val="0"/>
        <w:pageBreakBefore w:val="0"/>
        <w:widowControl w:val="0"/>
        <w:kinsoku/>
        <w:wordWrap/>
        <w:overflowPunct/>
        <w:topLinePunct w:val="0"/>
        <w:autoSpaceDE/>
        <w:autoSpaceDN/>
        <w:bidi w:val="0"/>
        <w:adjustRightInd/>
        <w:snapToGrid/>
        <w:spacing w:line="300" w:lineRule="auto"/>
        <w:ind w:firstLine="440" w:firstLineChars="20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表3 部分型号高温盐槽技术指标</w:t>
      </w:r>
    </w:p>
    <w:tbl>
      <w:tblPr>
        <w:tblStyle w:val="11"/>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1882"/>
        <w:gridCol w:w="4954"/>
      </w:tblGrid>
      <w:tr w14:paraId="05E4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626" w:type="dxa"/>
            <w:noWrap w:val="0"/>
            <w:vAlign w:val="center"/>
          </w:tcPr>
          <w:p w14:paraId="64F1636F">
            <w:pPr>
              <w:keepNext w:val="0"/>
              <w:keepLines w:val="0"/>
              <w:widowControl/>
              <w:suppressLineNumbers w:val="0"/>
              <w:jc w:val="center"/>
              <w:textAlignment w:val="center"/>
              <w:rPr>
                <w:rFonts w:hint="default"/>
                <w:vertAlign w:val="baseline"/>
                <w:lang w:val="en-US" w:eastAsia="zh-CN"/>
              </w:rPr>
            </w:pPr>
            <w:r>
              <w:rPr>
                <w:rFonts w:hint="eastAsia" w:ascii="宋体" w:hAnsi="宋体" w:eastAsia="宋体" w:cs="宋体"/>
                <w:i w:val="0"/>
                <w:iCs w:val="0"/>
                <w:color w:val="000000"/>
                <w:kern w:val="0"/>
                <w:sz w:val="21"/>
                <w:szCs w:val="21"/>
                <w:u w:val="none"/>
                <w:lang w:val="en-US" w:eastAsia="zh-CN" w:bidi="ar"/>
              </w:rPr>
              <w:t>厂家/型号</w:t>
            </w:r>
          </w:p>
        </w:tc>
        <w:tc>
          <w:tcPr>
            <w:tcW w:w="1882" w:type="dxa"/>
            <w:noWrap w:val="0"/>
            <w:vAlign w:val="center"/>
          </w:tcPr>
          <w:p w14:paraId="39EB9161">
            <w:pPr>
              <w:keepNext w:val="0"/>
              <w:keepLines w:val="0"/>
              <w:widowControl/>
              <w:suppressLineNumbers w:val="0"/>
              <w:jc w:val="center"/>
              <w:textAlignment w:val="center"/>
              <w:rPr>
                <w:rFonts w:hint="eastAsia"/>
                <w:vertAlign w:val="baseline"/>
                <w:lang w:val="en-US" w:eastAsia="zh-CN"/>
              </w:rPr>
            </w:pPr>
            <w:r>
              <w:rPr>
                <w:rFonts w:hint="eastAsia" w:ascii="宋体" w:hAnsi="宋体" w:eastAsia="宋体" w:cs="宋体"/>
                <w:i w:val="0"/>
                <w:iCs w:val="0"/>
                <w:color w:val="000000"/>
                <w:kern w:val="0"/>
                <w:sz w:val="21"/>
                <w:szCs w:val="21"/>
                <w:u w:val="none"/>
                <w:lang w:val="en-US" w:eastAsia="zh-CN" w:bidi="ar"/>
              </w:rPr>
              <w:t>温度范围</w:t>
            </w:r>
          </w:p>
        </w:tc>
        <w:tc>
          <w:tcPr>
            <w:tcW w:w="4954" w:type="dxa"/>
            <w:noWrap w:val="0"/>
            <w:vAlign w:val="center"/>
          </w:tcPr>
          <w:p w14:paraId="5024016D">
            <w:pPr>
              <w:keepNext w:val="0"/>
              <w:keepLines w:val="0"/>
              <w:widowControl/>
              <w:suppressLineNumbers w:val="0"/>
              <w:jc w:val="center"/>
              <w:textAlignment w:val="center"/>
              <w:rPr>
                <w:rFonts w:hint="eastAsia"/>
                <w:vertAlign w:val="baseline"/>
                <w:lang w:val="en-US" w:eastAsia="zh-CN"/>
              </w:rPr>
            </w:pPr>
            <w:r>
              <w:rPr>
                <w:rStyle w:val="20"/>
                <w:lang w:val="en-US" w:eastAsia="zh-CN" w:bidi="ar"/>
              </w:rPr>
              <w:t>技术要求</w:t>
            </w:r>
          </w:p>
        </w:tc>
      </w:tr>
      <w:tr w14:paraId="49AF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noWrap w:val="0"/>
            <w:vAlign w:val="center"/>
          </w:tcPr>
          <w:p w14:paraId="08403E09">
            <w:pPr>
              <w:jc w:val="center"/>
              <w:rPr>
                <w:rFonts w:hint="default"/>
                <w:kern w:val="2"/>
                <w:sz w:val="21"/>
                <w:szCs w:val="24"/>
                <w:vertAlign w:val="baseline"/>
                <w:lang w:val="en-US" w:eastAsia="zh-CN" w:bidi="ar-SA"/>
              </w:rPr>
            </w:pPr>
            <w:r>
              <w:rPr>
                <w:rFonts w:hint="eastAsia"/>
                <w:vertAlign w:val="baseline"/>
                <w:lang w:val="en-US" w:eastAsia="zh-CN"/>
              </w:rPr>
              <w:t>/</w:t>
            </w:r>
          </w:p>
        </w:tc>
        <w:tc>
          <w:tcPr>
            <w:tcW w:w="1882" w:type="dxa"/>
            <w:noWrap w:val="0"/>
            <w:vAlign w:val="center"/>
          </w:tcPr>
          <w:p w14:paraId="1D9CEFF2">
            <w:pPr>
              <w:jc w:val="center"/>
              <w:rPr>
                <w:rFonts w:hint="eastAsia"/>
                <w:kern w:val="2"/>
                <w:sz w:val="21"/>
                <w:szCs w:val="24"/>
                <w:vertAlign w:val="baseline"/>
                <w:lang w:val="en-US" w:eastAsia="zh-CN" w:bidi="ar-SA"/>
              </w:rPr>
            </w:pPr>
            <w:r>
              <w:rPr>
                <w:rFonts w:hint="eastAsia"/>
                <w:vertAlign w:val="baseline"/>
                <w:lang w:val="en-US" w:eastAsia="zh-CN"/>
              </w:rPr>
              <w:t>300℃~670℃</w:t>
            </w:r>
          </w:p>
        </w:tc>
        <w:tc>
          <w:tcPr>
            <w:tcW w:w="4954" w:type="dxa"/>
            <w:noWrap w:val="0"/>
            <w:vAlign w:val="top"/>
          </w:tcPr>
          <w:p w14:paraId="18B32894">
            <w:pPr>
              <w:jc w:val="center"/>
              <w:rPr>
                <w:rFonts w:hint="eastAsia"/>
                <w:vertAlign w:val="baseline"/>
                <w:lang w:val="en-US" w:eastAsia="zh-CN"/>
              </w:rPr>
            </w:pPr>
            <w:r>
              <w:rPr>
                <w:rFonts w:hint="eastAsia"/>
                <w:vertAlign w:val="baseline"/>
                <w:lang w:val="en-US" w:eastAsia="zh-CN"/>
              </w:rPr>
              <w:t>工作区域水平温差0.01℃</w:t>
            </w:r>
          </w:p>
          <w:p w14:paraId="6591B0CD">
            <w:pPr>
              <w:jc w:val="center"/>
              <w:rPr>
                <w:rFonts w:hint="eastAsia"/>
                <w:vertAlign w:val="baseline"/>
                <w:lang w:val="en-US" w:eastAsia="zh-CN"/>
              </w:rPr>
            </w:pPr>
            <w:r>
              <w:rPr>
                <w:rFonts w:hint="eastAsia"/>
                <w:vertAlign w:val="baseline"/>
                <w:lang w:val="en-US" w:eastAsia="zh-CN"/>
              </w:rPr>
              <w:t>垂直区域最大温差0.02℃</w:t>
            </w:r>
          </w:p>
          <w:p w14:paraId="28E9588A">
            <w:pPr>
              <w:jc w:val="center"/>
              <w:rPr>
                <w:rFonts w:hint="eastAsia"/>
                <w:kern w:val="2"/>
                <w:sz w:val="21"/>
                <w:szCs w:val="24"/>
                <w:vertAlign w:val="baseline"/>
                <w:lang w:val="en-US" w:eastAsia="zh-CN" w:bidi="ar-SA"/>
              </w:rPr>
            </w:pPr>
            <w:r>
              <w:rPr>
                <w:rFonts w:hint="eastAsia"/>
                <w:vertAlign w:val="baseline"/>
                <w:lang w:val="en-US" w:eastAsia="zh-CN"/>
              </w:rPr>
              <w:t>温度波动度±0.01℃/10min</w:t>
            </w:r>
          </w:p>
        </w:tc>
      </w:tr>
      <w:tr w14:paraId="4D38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626" w:type="dxa"/>
            <w:noWrap w:val="0"/>
            <w:vAlign w:val="center"/>
          </w:tcPr>
          <w:p w14:paraId="0D1C9A2B">
            <w:pPr>
              <w:jc w:val="center"/>
              <w:rPr>
                <w:rFonts w:hint="default"/>
                <w:vertAlign w:val="baseline"/>
                <w:lang w:val="en-US" w:eastAsia="zh-CN"/>
              </w:rPr>
            </w:pPr>
            <w:r>
              <w:rPr>
                <w:rFonts w:hint="eastAsia"/>
                <w:vertAlign w:val="baseline"/>
                <w:lang w:val="en-US" w:eastAsia="zh-CN"/>
              </w:rPr>
              <w:t>/</w:t>
            </w:r>
          </w:p>
        </w:tc>
        <w:tc>
          <w:tcPr>
            <w:tcW w:w="1882" w:type="dxa"/>
            <w:noWrap w:val="0"/>
            <w:vAlign w:val="center"/>
          </w:tcPr>
          <w:p w14:paraId="4933DCF4">
            <w:pPr>
              <w:jc w:val="center"/>
              <w:rPr>
                <w:rFonts w:hint="eastAsia"/>
                <w:vertAlign w:val="baseline"/>
                <w:lang w:val="en-US" w:eastAsia="zh-CN"/>
              </w:rPr>
            </w:pPr>
            <w:r>
              <w:rPr>
                <w:rFonts w:hint="eastAsia"/>
                <w:vertAlign w:val="baseline"/>
                <w:lang w:val="en-US" w:eastAsia="zh-CN"/>
              </w:rPr>
              <w:t>180℃~550℃</w:t>
            </w:r>
          </w:p>
        </w:tc>
        <w:tc>
          <w:tcPr>
            <w:tcW w:w="4954" w:type="dxa"/>
            <w:noWrap w:val="0"/>
            <w:vAlign w:val="top"/>
          </w:tcPr>
          <w:p w14:paraId="0C017133">
            <w:pPr>
              <w:jc w:val="center"/>
              <w:rPr>
                <w:rFonts w:hint="default"/>
                <w:vertAlign w:val="baseline"/>
                <w:lang w:val="en-US" w:eastAsia="zh-CN"/>
              </w:rPr>
            </w:pPr>
            <w:r>
              <w:rPr>
                <w:rFonts w:hint="eastAsia"/>
                <w:vertAlign w:val="baseline"/>
                <w:lang w:val="en-US" w:eastAsia="zh-CN"/>
              </w:rPr>
              <w:t>均匀度：±（0.005~0.020）℃</w:t>
            </w:r>
          </w:p>
          <w:p w14:paraId="0242EDB8">
            <w:pPr>
              <w:jc w:val="center"/>
              <w:rPr>
                <w:rFonts w:hint="default"/>
                <w:vertAlign w:val="baseline"/>
                <w:lang w:val="en-US" w:eastAsia="zh-CN"/>
              </w:rPr>
            </w:pPr>
            <w:r>
              <w:rPr>
                <w:rFonts w:hint="eastAsia"/>
                <w:vertAlign w:val="baseline"/>
                <w:lang w:val="en-US" w:eastAsia="zh-CN"/>
              </w:rPr>
              <w:t>稳定度：±（0.002~0.008）℃</w:t>
            </w:r>
          </w:p>
        </w:tc>
      </w:tr>
      <w:tr w14:paraId="65796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6" w:type="dxa"/>
            <w:noWrap w:val="0"/>
            <w:vAlign w:val="center"/>
          </w:tcPr>
          <w:p w14:paraId="69F0C4A0">
            <w:pPr>
              <w:jc w:val="center"/>
              <w:rPr>
                <w:rFonts w:hint="default"/>
                <w:kern w:val="2"/>
                <w:sz w:val="21"/>
                <w:szCs w:val="24"/>
                <w:vertAlign w:val="baseline"/>
                <w:lang w:val="en-US" w:eastAsia="zh-CN" w:bidi="ar-SA"/>
              </w:rPr>
            </w:pPr>
            <w:r>
              <w:rPr>
                <w:rFonts w:hint="eastAsia"/>
                <w:vertAlign w:val="baseline"/>
                <w:lang w:val="en-US" w:eastAsia="zh-CN"/>
              </w:rPr>
              <w:t>/</w:t>
            </w:r>
          </w:p>
        </w:tc>
        <w:tc>
          <w:tcPr>
            <w:tcW w:w="1882" w:type="dxa"/>
            <w:noWrap w:val="0"/>
            <w:vAlign w:val="center"/>
          </w:tcPr>
          <w:p w14:paraId="25DCD1E4">
            <w:pPr>
              <w:jc w:val="center"/>
              <w:rPr>
                <w:rFonts w:hint="default"/>
                <w:kern w:val="2"/>
                <w:sz w:val="21"/>
                <w:szCs w:val="24"/>
                <w:vertAlign w:val="baseline"/>
                <w:lang w:val="en-US" w:eastAsia="zh-CN" w:bidi="ar-SA"/>
              </w:rPr>
            </w:pPr>
            <w:r>
              <w:rPr>
                <w:rFonts w:hint="eastAsia"/>
                <w:vertAlign w:val="baseline"/>
                <w:lang w:val="en-US" w:eastAsia="zh-CN"/>
              </w:rPr>
              <w:t>450℃~670℃</w:t>
            </w:r>
          </w:p>
        </w:tc>
        <w:tc>
          <w:tcPr>
            <w:tcW w:w="4954" w:type="dxa"/>
            <w:noWrap w:val="0"/>
            <w:vAlign w:val="top"/>
          </w:tcPr>
          <w:p w14:paraId="6C907601">
            <w:pPr>
              <w:jc w:val="center"/>
              <w:rPr>
                <w:rFonts w:hint="eastAsia"/>
                <w:vertAlign w:val="baseline"/>
                <w:lang w:val="en-US" w:eastAsia="zh-CN"/>
              </w:rPr>
            </w:pPr>
            <w:r>
              <w:rPr>
                <w:rFonts w:hint="eastAsia"/>
                <w:vertAlign w:val="baseline"/>
                <w:lang w:val="en-US" w:eastAsia="zh-CN"/>
              </w:rPr>
              <w:t>工作区域水平温差0.01℃~0.015℃</w:t>
            </w:r>
          </w:p>
          <w:p w14:paraId="7ED449AF">
            <w:pPr>
              <w:jc w:val="center"/>
              <w:rPr>
                <w:rFonts w:hint="eastAsia"/>
                <w:vertAlign w:val="baseline"/>
                <w:lang w:val="en-US" w:eastAsia="zh-CN"/>
              </w:rPr>
            </w:pPr>
            <w:r>
              <w:rPr>
                <w:rFonts w:hint="eastAsia"/>
                <w:vertAlign w:val="baseline"/>
                <w:lang w:val="en-US" w:eastAsia="zh-CN"/>
              </w:rPr>
              <w:t>垂直区域最大温差0.01℃~0.025℃</w:t>
            </w:r>
          </w:p>
          <w:p w14:paraId="0896C68B">
            <w:pPr>
              <w:jc w:val="center"/>
              <w:rPr>
                <w:rFonts w:hint="eastAsia"/>
                <w:kern w:val="2"/>
                <w:sz w:val="21"/>
                <w:szCs w:val="24"/>
                <w:vertAlign w:val="baseline"/>
                <w:lang w:val="en-US" w:eastAsia="zh-CN" w:bidi="ar-SA"/>
              </w:rPr>
            </w:pPr>
            <w:r>
              <w:rPr>
                <w:rFonts w:hint="eastAsia"/>
                <w:vertAlign w:val="baseline"/>
                <w:lang w:val="en-US" w:eastAsia="zh-CN"/>
              </w:rPr>
              <w:t>温度波动度±（0.01~0.015)℃/10min</w:t>
            </w:r>
          </w:p>
        </w:tc>
      </w:tr>
    </w:tbl>
    <w:p w14:paraId="7808F8C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然而，大多数计量部门或生产企业出厂检验时，均采用JJF 1030-2023温度校准用恒温槽技术性能测试规范》对其进行技术能力评价。正如前文所述，该类设备在校准方法和校准过程中具有很多特殊性和差异性，直接使用该规范除了超范围问题外，还存在不能有效评价其技术性能，更甚会损坏标准铂电阻温度计等问题。</w:t>
      </w:r>
    </w:p>
    <w:p w14:paraId="36E1E38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综上所述，为了统一和规范恒温盐槽温度参数性能的评价方法，为该类产品的技术能力提升以及更新迭代不断优化的实施提供技术保障，有必要制定全国统一的恒温盐槽校准规范。</w:t>
      </w:r>
    </w:p>
    <w:p w14:paraId="0D997F7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eastAsia="黑体"/>
          <w:sz w:val="28"/>
          <w:szCs w:val="28"/>
        </w:rPr>
      </w:pPr>
      <w:r>
        <w:rPr>
          <w:rFonts w:hint="eastAsia" w:eastAsia="黑体"/>
          <w:sz w:val="28"/>
          <w:szCs w:val="28"/>
        </w:rPr>
        <w:t>二、产品概述</w:t>
      </w:r>
    </w:p>
    <w:p w14:paraId="5E45BAF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恒温盐槽又称盐浴恒温槽‌，是以熔融盐或盐溶液为工作介质，能够提供均匀稳定高温温场的工业/实验室恒温设备。</w:t>
      </w:r>
    </w:p>
    <w:p w14:paraId="4212F1E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恒温盐槽</w:t>
      </w:r>
      <w:r>
        <w:rPr>
          <w:rFonts w:hint="default"/>
          <w:sz w:val="24"/>
          <w:szCs w:val="24"/>
          <w:highlight w:val="none"/>
          <w:lang w:val="en-US" w:eastAsia="zh-CN"/>
        </w:rPr>
        <w:t>属于高精度控温设备，通过自动化控制系统自动完成熔化、搅拌、控温及安全保护，工作温度范围多在‌200℃~</w:t>
      </w:r>
      <w:r>
        <w:rPr>
          <w:rFonts w:hint="eastAsia"/>
          <w:sz w:val="24"/>
          <w:szCs w:val="24"/>
          <w:highlight w:val="none"/>
          <w:lang w:val="en-US" w:eastAsia="zh-CN"/>
        </w:rPr>
        <w:t>55</w:t>
      </w:r>
      <w:r>
        <w:rPr>
          <w:rFonts w:hint="default"/>
          <w:sz w:val="24"/>
          <w:szCs w:val="24"/>
          <w:highlight w:val="none"/>
          <w:lang w:val="en-US" w:eastAsia="zh-CN"/>
        </w:rPr>
        <w:t>0℃</w:t>
      </w:r>
      <w:r>
        <w:rPr>
          <w:rFonts w:hint="eastAsia"/>
          <w:sz w:val="24"/>
          <w:szCs w:val="24"/>
          <w:highlight w:val="none"/>
          <w:lang w:val="en-US" w:eastAsia="zh-CN"/>
        </w:rPr>
        <w:t>之间</w:t>
      </w:r>
      <w:r>
        <w:rPr>
          <w:rFonts w:hint="default"/>
          <w:sz w:val="24"/>
          <w:szCs w:val="24"/>
          <w:highlight w:val="none"/>
          <w:lang w:val="en-US" w:eastAsia="zh-CN"/>
        </w:rPr>
        <w:t>‌，</w:t>
      </w:r>
      <w:r>
        <w:rPr>
          <w:rFonts w:hint="eastAsia"/>
          <w:sz w:val="24"/>
          <w:szCs w:val="24"/>
          <w:highlight w:val="none"/>
          <w:lang w:val="en-US" w:eastAsia="zh-CN"/>
        </w:rPr>
        <w:t>也有少数厂家的工作温度范围在</w:t>
      </w:r>
      <w:r>
        <w:rPr>
          <w:rFonts w:hint="default"/>
          <w:sz w:val="24"/>
          <w:szCs w:val="24"/>
          <w:highlight w:val="none"/>
          <w:lang w:val="en-US" w:eastAsia="zh-CN"/>
        </w:rPr>
        <w:t>‌200℃~</w:t>
      </w:r>
      <w:r>
        <w:rPr>
          <w:rFonts w:hint="eastAsia"/>
          <w:sz w:val="24"/>
          <w:szCs w:val="24"/>
          <w:highlight w:val="none"/>
          <w:lang w:val="en-US" w:eastAsia="zh-CN"/>
        </w:rPr>
        <w:t>66</w:t>
      </w:r>
      <w:r>
        <w:rPr>
          <w:rFonts w:hint="default"/>
          <w:sz w:val="24"/>
          <w:szCs w:val="24"/>
          <w:highlight w:val="none"/>
          <w:lang w:val="en-US" w:eastAsia="zh-CN"/>
        </w:rPr>
        <w:t>0℃</w:t>
      </w:r>
      <w:r>
        <w:rPr>
          <w:rFonts w:hint="eastAsia"/>
          <w:sz w:val="24"/>
          <w:szCs w:val="24"/>
          <w:highlight w:val="none"/>
          <w:lang w:val="en-US" w:eastAsia="zh-CN"/>
        </w:rPr>
        <w:t>或更高。</w:t>
      </w:r>
      <w:r>
        <w:rPr>
          <w:rFonts w:hint="default"/>
          <w:sz w:val="24"/>
          <w:szCs w:val="24"/>
          <w:highlight w:val="none"/>
          <w:lang w:val="en-US" w:eastAsia="zh-CN"/>
        </w:rPr>
        <w:t>具备极高的温度均匀</w:t>
      </w:r>
      <w:r>
        <w:rPr>
          <w:rFonts w:hint="eastAsia"/>
          <w:sz w:val="24"/>
          <w:szCs w:val="24"/>
          <w:highlight w:val="none"/>
          <w:lang w:val="en-US" w:eastAsia="zh-CN"/>
        </w:rPr>
        <w:t>度</w:t>
      </w:r>
      <w:r>
        <w:rPr>
          <w:rFonts w:hint="default"/>
          <w:sz w:val="24"/>
          <w:szCs w:val="24"/>
          <w:highlight w:val="none"/>
          <w:lang w:val="en-US" w:eastAsia="zh-CN"/>
        </w:rPr>
        <w:t>与稳定</w:t>
      </w:r>
      <w:r>
        <w:rPr>
          <w:rFonts w:hint="eastAsia"/>
          <w:sz w:val="24"/>
          <w:szCs w:val="24"/>
          <w:highlight w:val="none"/>
          <w:lang w:val="en-US" w:eastAsia="zh-CN"/>
        </w:rPr>
        <w:t>度</w:t>
      </w:r>
      <w:r>
        <w:rPr>
          <w:rFonts w:hint="default"/>
          <w:sz w:val="24"/>
          <w:szCs w:val="24"/>
          <w:highlight w:val="none"/>
          <w:lang w:val="en-US" w:eastAsia="zh-CN"/>
        </w:rPr>
        <w:t>（高端型号均匀度可达±0.005℃），主要应用于温度传感器校准、金属工件热处理淬火、光热发电储热等场景。</w:t>
      </w:r>
    </w:p>
    <w:p w14:paraId="58718390">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kern w:val="0"/>
          <w:sz w:val="28"/>
          <w:szCs w:val="28"/>
          <w:lang w:val="en-US"/>
        </w:rPr>
      </w:pPr>
      <w:r>
        <w:rPr>
          <w:rFonts w:hint="eastAsia"/>
          <w:kern w:val="0"/>
          <w:sz w:val="28"/>
          <w:szCs w:val="28"/>
          <w:lang w:val="en-US" w:eastAsia="zh-CN"/>
        </w:rPr>
        <w:t>2.1 组成部分</w:t>
      </w:r>
    </w:p>
    <w:p w14:paraId="594333F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恒温盐槽采用模块化结构设计，核心结构主要由‌槽体、加热系统、搅拌系统、控温系统、安全系统等‌五大核心部分组成，部分特殊用途设备会额外增加定制结构，各部分功能如下：</w:t>
      </w:r>
    </w:p>
    <w:p w14:paraId="0D24FEB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1. 槽体</w:t>
      </w:r>
    </w:p>
    <w:p w14:paraId="629D672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槽体是承载盐介质的主体结构，通常采用耐腐蚀不锈钢板制成，形状可分为方形、圆形两类，市面常见类型主要以圆形为主；多数设备采用‌双层设计‌，内外槽之间形成中空风道用于散热冷却；高端校准用盐槽会预留外部冷却管接口，可连接外接水冷/风冷系统进一步控温。部分传统计量用盐槽采用双圆筒嵌套结构，配合搅拌形成环流让温场更均匀。</w:t>
      </w:r>
    </w:p>
    <w:p w14:paraId="7C54108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 加热系统</w:t>
      </w:r>
    </w:p>
    <w:p w14:paraId="06CC5F6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加热系统多采用电加热方式，通过加热管/镍铬丝加热器对固态盐加热熔化，维持工作温度，弥补热量散失；功率根据设备容积和最高工作温度设计，常见校准用盐槽加热功率在1kW~3kW区间。</w:t>
      </w:r>
    </w:p>
    <w:p w14:paraId="58D50BB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3. 搅拌系统</w:t>
      </w:r>
    </w:p>
    <w:p w14:paraId="333D89C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搅拌系统多采用机械搅拌器或盐泵驱动盐液循环流动，保证槽内温度均匀，避免盐类沉淀；高端设备采用全封闭隐藏式机械驱动螺旋桨，可减少震动对温场的干扰，部分传统结构通过特殊双圆筒设计配合底部搅拌形成环流，提升温场的均匀度。</w:t>
      </w:r>
    </w:p>
    <w:p w14:paraId="16E3F0D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4. 控温系统</w:t>
      </w:r>
    </w:p>
    <w:p w14:paraId="512CF02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控温系统主要由温度传感器和控制器组成，采用微电脑或触摸屏控制器，可精确设定并稳定控制温度；高端校准盐槽的控温精度可达±0.005℃，能实时动态平衡温度波动。</w:t>
      </w:r>
    </w:p>
    <w:p w14:paraId="055D2EC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 安全保护系统</w:t>
      </w:r>
    </w:p>
    <w:p w14:paraId="2542BAC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标配超温保护、温度异常报警和自动断电功能，防范高温熔盐安全风险；针对重型工件淬火场景，可额外配置液压升降系统降低操作强度；针对高温熔盐储热槽，还配有专门的高温密封系统和防冻堵结构。</w:t>
      </w:r>
    </w:p>
    <w:p w14:paraId="13B7B878">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eastAsia="宋体"/>
          <w:sz w:val="24"/>
          <w:szCs w:val="24"/>
          <w:highlight w:val="none"/>
          <w:lang w:val="en-US" w:eastAsia="zh-CN"/>
        </w:rPr>
      </w:pPr>
      <w:r>
        <w:rPr>
          <w:rFonts w:hint="eastAsia"/>
          <w:kern w:val="0"/>
          <w:sz w:val="28"/>
          <w:szCs w:val="28"/>
          <w:lang w:val="en-US" w:eastAsia="zh-CN"/>
        </w:rPr>
        <w:t>2</w:t>
      </w:r>
      <w:r>
        <w:rPr>
          <w:kern w:val="0"/>
          <w:sz w:val="28"/>
          <w:szCs w:val="28"/>
        </w:rPr>
        <w:t xml:space="preserve">.2 </w:t>
      </w:r>
      <w:r>
        <w:rPr>
          <w:rFonts w:hint="eastAsia"/>
          <w:kern w:val="0"/>
          <w:sz w:val="28"/>
          <w:szCs w:val="28"/>
          <w:lang w:val="en-US" w:eastAsia="zh-CN"/>
        </w:rPr>
        <w:t>应用领域</w:t>
      </w:r>
    </w:p>
    <w:p w14:paraId="7A48DFC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恒温盐槽凭借宽温区、高精度控温的特点，在‌计量检定</w:t>
      </w:r>
      <w:r>
        <w:rPr>
          <w:rFonts w:hint="eastAsia"/>
          <w:sz w:val="24"/>
          <w:szCs w:val="24"/>
          <w:highlight w:val="none"/>
          <w:lang w:val="en-US" w:eastAsia="zh-CN"/>
        </w:rPr>
        <w:t>校准</w:t>
      </w:r>
      <w:r>
        <w:rPr>
          <w:rFonts w:hint="default"/>
          <w:sz w:val="24"/>
          <w:szCs w:val="24"/>
          <w:highlight w:val="none"/>
          <w:lang w:val="en-US" w:eastAsia="zh-CN"/>
        </w:rPr>
        <w:t>、工业热处理、科研实验、新能源</w:t>
      </w:r>
      <w:r>
        <w:rPr>
          <w:rFonts w:hint="eastAsia"/>
          <w:sz w:val="24"/>
          <w:szCs w:val="24"/>
          <w:highlight w:val="none"/>
          <w:lang w:val="en-US" w:eastAsia="zh-CN"/>
        </w:rPr>
        <w:t>等</w:t>
      </w:r>
      <w:r>
        <w:rPr>
          <w:rFonts w:hint="default"/>
          <w:sz w:val="24"/>
          <w:szCs w:val="24"/>
          <w:highlight w:val="none"/>
          <w:lang w:val="en-US" w:eastAsia="zh-CN"/>
        </w:rPr>
        <w:t>‌四大领域有广泛应用，具体场景如下：</w:t>
      </w:r>
    </w:p>
    <w:p w14:paraId="7BB6A07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1. 温度计量校准领域</w:t>
      </w:r>
    </w:p>
    <w:p w14:paraId="5BD42D3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这是中高温恒温盐槽最核心的应用场景，是计量</w:t>
      </w:r>
      <w:r>
        <w:rPr>
          <w:rFonts w:hint="eastAsia"/>
          <w:sz w:val="24"/>
          <w:szCs w:val="24"/>
          <w:highlight w:val="none"/>
          <w:lang w:val="en-US" w:eastAsia="zh-CN"/>
        </w:rPr>
        <w:t>检定校准</w:t>
      </w:r>
      <w:r>
        <w:rPr>
          <w:rFonts w:hint="default"/>
          <w:sz w:val="24"/>
          <w:szCs w:val="24"/>
          <w:highlight w:val="none"/>
          <w:lang w:val="en-US" w:eastAsia="zh-CN"/>
        </w:rPr>
        <w:t>行业的必备设备，主要为高温铂电阻、数字温度计、热电偶、标准水银温度计等各类温度传感器提供均匀稳定的高精度恒温场，完成温度校准与测试，保障温度计量结果的准确性，广泛应用于各级计量院所、工矿企业质检部门。</w:t>
      </w:r>
    </w:p>
    <w:p w14:paraId="2E1733E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2. 金属热处理领域</w:t>
      </w:r>
    </w:p>
    <w:p w14:paraId="253A022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主要用于轴承钢、汽车零部件、合金钢等金属工件的盐浴淬火工艺：以熔融混合盐为冷却介质，能够控制冷却速率，提升工件硬度和表面质量，减少工件淬火变形；不过传统铝合金盐浴淬火工艺因存在硝酸盐介质爆炸风险，且能耗高、污染大，已被列为淘汰落后工艺，逐步被气垫炉等新技术替代。</w:t>
      </w:r>
    </w:p>
    <w:p w14:paraId="5F508B3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3. 科研与化工实验领域</w:t>
      </w:r>
    </w:p>
    <w:p w14:paraId="08BFEA4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为化工、石油、材料科学、生物学等领域的实验提供高温恒温环境：可用于复合材料高温热膨胀系数测试、化工合成反应的恒温控制、高温材料性能测试等需要精确控温的实验研究，满足科研对温场稳定性的要求。</w:t>
      </w:r>
    </w:p>
    <w:p w14:paraId="72E1666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4. 新能源光热发电领域</w:t>
      </w:r>
    </w:p>
    <w:p w14:paraId="5BC2936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光热发电用恒温熔盐储热槽属于大型恒温盐槽，是塔式/槽式光热发电系统的关键储热设备，以硝酸盐熔盐为介质，在550℃以上的高温下稳定储存太阳能热能，相较于传统导热油储热系统，储能密度更高、运行温度更高，可提升光热发电的整体效率，还搭配了特殊的高温密封和防冻堵设计。</w:t>
      </w:r>
    </w:p>
    <w:p w14:paraId="087C0717">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三、规范起草的技术依据</w:t>
      </w:r>
    </w:p>
    <w:p w14:paraId="34D992D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本技术规范起草的主要技术依据为JJF 1030—2023《温度校准用恒温槽技术性能测试规范》和GB/T 32710.12-2016《环境试验仪器及设备安全要求第12部分：盐槽》</w:t>
      </w:r>
      <w:r>
        <w:rPr>
          <w:rFonts w:hint="eastAsia"/>
          <w:lang w:eastAsia="zh-CN"/>
        </w:rPr>
        <w:t>、</w:t>
      </w:r>
      <w:r>
        <w:rPr>
          <w:rFonts w:hint="eastAsia"/>
        </w:rPr>
        <w:t>JJF 1409-2013</w:t>
      </w:r>
      <w:r>
        <w:rPr>
          <w:rFonts w:hint="eastAsia"/>
          <w:lang w:eastAsia="zh-CN"/>
        </w:rPr>
        <w:t>《</w:t>
      </w:r>
      <w:r>
        <w:rPr>
          <w:rFonts w:hint="eastAsia"/>
        </w:rPr>
        <w:t>表面温度计校准规范</w:t>
      </w:r>
      <w:r>
        <w:rPr>
          <w:rFonts w:hint="eastAsia"/>
          <w:lang w:eastAsia="zh-CN"/>
        </w:rPr>
        <w:t>》</w:t>
      </w:r>
      <w:r>
        <w:rPr>
          <w:rFonts w:hint="eastAsia"/>
          <w:sz w:val="24"/>
          <w:szCs w:val="24"/>
          <w:highlight w:val="none"/>
          <w:lang w:val="en-US" w:eastAsia="zh-CN"/>
        </w:rPr>
        <w:t>等。起草过程中，起草组查阅了大量的国家标准、行业标准及技术规范，对恒温盐槽设备测试的相关技术要求进行了全面的梳理。</w:t>
      </w:r>
    </w:p>
    <w:p w14:paraId="67C5C4C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同时，在编制过程中，起草组讨论了测试规范的名称问题。开始趋向于以校准规范形式起草。因为恒温盐槽作为温度计检定、校准的主要配套设备，根据相关考核要求应出具校准证书。然而根据JJF 1001-2011《通用计量术语及定义》校准的定义：“在规定条件下的一组操作，其第一步是确定由测量标准提供的量值与相应示值之间的关系，第二步则是用此信息确定由示值获得测量结果的关系，这里测量标准提供的量值与相应示值都具有测量不确定度”。但是恒温盐槽技术性能主要体现为均匀度、波动度，它不符合校准定义的第一步内容。因此使用校准规范不合适。所以最终参考JJF 1030，使用“技术性能测试规范”这一名称。</w:t>
      </w:r>
    </w:p>
    <w:p w14:paraId="352F287D">
      <w:pPr>
        <w:widowControl/>
        <w:spacing w:line="360" w:lineRule="auto"/>
        <w:ind w:firstLine="451" w:firstLineChars="188"/>
        <w:rPr>
          <w:rFonts w:hint="default" w:ascii="Times New Roman" w:hAnsi="Times New Roman" w:cs="Times New Roman"/>
          <w:sz w:val="21"/>
          <w:szCs w:val="21"/>
          <w:lang w:val="en-US"/>
        </w:rPr>
      </w:pPr>
      <w:r>
        <w:rPr>
          <w:rFonts w:hint="eastAsia" w:ascii="Times New Roman" w:hAnsi="Times New Roman" w:cs="Times New Roman"/>
          <w:sz w:val="24"/>
          <w:szCs w:val="24"/>
          <w:lang w:val="en-US" w:eastAsia="zh-CN"/>
        </w:rPr>
        <w:t>另外，关于温度范围的确定，目前绝大部分恒温盐槽都在670℃以下，而铂电阻温度计作标准器使用铝点进行分度，所以将温度范围定在660℃以下。</w:t>
      </w:r>
    </w:p>
    <w:p w14:paraId="3E347DD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本规范按JJF 1071—2010《国家计量校准规范编写规则》进行编写，与</w:t>
      </w:r>
      <w:r>
        <w:rPr>
          <w:rFonts w:hint="default"/>
          <w:sz w:val="24"/>
          <w:szCs w:val="24"/>
          <w:highlight w:val="none"/>
          <w:lang w:val="en-US" w:eastAsia="zh-CN"/>
        </w:rPr>
        <w:t>JJF 1001</w:t>
      </w:r>
      <w:r>
        <w:rPr>
          <w:rFonts w:hint="eastAsia"/>
          <w:sz w:val="24"/>
          <w:szCs w:val="24"/>
          <w:highlight w:val="none"/>
          <w:lang w:val="en-US" w:eastAsia="zh-CN"/>
        </w:rPr>
        <w:t>—</w:t>
      </w:r>
      <w:r>
        <w:rPr>
          <w:rFonts w:hint="default"/>
          <w:sz w:val="24"/>
          <w:szCs w:val="24"/>
          <w:highlight w:val="none"/>
          <w:lang w:val="en-US" w:eastAsia="zh-CN"/>
        </w:rPr>
        <w:t>2011</w:t>
      </w:r>
      <w:r>
        <w:rPr>
          <w:rFonts w:hint="eastAsia"/>
          <w:sz w:val="24"/>
          <w:szCs w:val="24"/>
          <w:highlight w:val="none"/>
          <w:lang w:val="en-US" w:eastAsia="zh-CN"/>
        </w:rPr>
        <w:t>《通用计量术语及定义》、和JJF 1059.1—2012《测量不确定度评定与表示》共同构成支撑本规范制定工作的基础性系列规范。</w:t>
      </w:r>
    </w:p>
    <w:p w14:paraId="4418638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四、规范起草的过程及计划安排</w:t>
      </w:r>
    </w:p>
    <w:p w14:paraId="2A63C89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起草组根据任务书要求，在《恒温盐槽技术性能测试规范》的制定过程中，参考大量国内外相关文献资料、有关技术依据和标准，针对恒温盐槽的温度波动度、温度均匀度、工作台面表面温度等技术性能开展了多次试验，积累了大量试验数据，并在此基础上编写了本规范。规范的编制过程如下： </w:t>
      </w:r>
    </w:p>
    <w:p w14:paraId="01F02EA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2025年5月23日，国家市场监督管理总局正式下发规范立项文件，6月浙江省质量科学研究院与秘书处所在单位，中国计量科学研究院签订了计量技术法规制修订合同（编号QGWDJS202501）。 </w:t>
      </w:r>
    </w:p>
    <w:p w14:paraId="648EBD4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2025年6月，浙江省质量科学研究院作为牵头单位正式组建了《恒温盐槽技术性能测试规范》编制组，确定各起草人员的分工及总体进度安排。 </w:t>
      </w:r>
    </w:p>
    <w:p w14:paraId="69292EB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2025年7月~9月，通过与生产厂家、用户沟通，调研恒温盐槽设备的生产厂家的生产情况、出厂试验情况、现场使用情况、周期测试情况等，就恒温盐槽的技术指标、测试需求等进行搜集和整理。</w:t>
      </w:r>
    </w:p>
    <w:p w14:paraId="1812EC2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2025年9月中旬，起草组成员共同完成初稿编制，并在广东汕头召开了技术研讨会，编制组对测试项目、测试方法和不确定度评定进行了技术研讨，同时对后期试验安排、试验分工和数据整理进行了统一部署。 </w:t>
      </w:r>
    </w:p>
    <w:p w14:paraId="7E0F664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2025年10月~12月，起草小组对初稿进行多次讨论，并对初稿进行了多次修改，形成测试规范讨论稿。 </w:t>
      </w:r>
    </w:p>
    <w:p w14:paraId="274DD08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2026年1月~3月，起草小组针对规范讨论稿中铂电阻的插入深度、铂电阻漏热问题的解决、上下水平面测试结果不一致、温度均匀度和温度波动度测试数据无法复现以及测试样机温度范围受限等多个核心技术问题，多次进行讨论、试验，完善讨论稿。 </w:t>
      </w:r>
    </w:p>
    <w:p w14:paraId="70D8AA6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2026年4月，起草小组赶赴山东省计量院、辽宁省计量院、辽阳市计量热工实验厂以及北京康斯特仪表科技股份有限公司，针对多个核心问题再次进行试验，解决了多个核心技术问题并确定最终技术指标。</w:t>
      </w:r>
    </w:p>
    <w:p w14:paraId="24BB220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2025年5月，起草小组完善规范，形成征求意见稿。</w:t>
      </w:r>
    </w:p>
    <w:p w14:paraId="4A137997">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五、规范主要制定内容</w:t>
      </w:r>
    </w:p>
    <w:p w14:paraId="2063411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本规范为首次制定。规范起草组成员调研了多家恒温盐槽试验设备的生产、研发及使用单位，如辽阳市计量热工实验厂、济南长峰致远仪表科技有限公司、湖州唯立仪表科技有限公司、</w:t>
      </w:r>
      <w:r>
        <w:rPr>
          <w:rFonts w:hint="default"/>
          <w:sz w:val="24"/>
          <w:szCs w:val="24"/>
          <w:highlight w:val="none"/>
          <w:lang w:val="en-US" w:eastAsia="zh-CN"/>
        </w:rPr>
        <w:t>湖州南浔双林恒立测试设备厂</w:t>
      </w:r>
      <w:r>
        <w:rPr>
          <w:rFonts w:hint="eastAsia"/>
          <w:sz w:val="24"/>
          <w:szCs w:val="24"/>
          <w:highlight w:val="none"/>
          <w:lang w:val="en-US" w:eastAsia="zh-CN"/>
        </w:rPr>
        <w:t>、北京康斯特仪表科技股份有限公司、湖州新晶觅仪器设备有限公司等。综合恒温盐槽设备的结构原理、技术指标及计量特性，采纳了多家单位建议，同时参考了相关的国际标准、国家标准、行业标准及技术规范等，制定了检测机构和生产使用单位普遍适用的测试方法。内容的编制遵循技术法规的科学性、先进性和可操作性原则。</w:t>
      </w:r>
    </w:p>
    <w:p w14:paraId="1F951BB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《恒温盐槽技术性能测试规范》的主要内容包括：封面、扉页、目录、引言、范围、引用文件、术语、概述、计量特性、测试条件、测试项目和测试方法、测试结果表达、复测时间间隔、附录等。其具体内容符合 JJF 1071-2010《国家计量校准规范编写规则》的要求。其主要内容说明如下：</w:t>
      </w:r>
    </w:p>
    <w:p w14:paraId="3655029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5.1 范围</w:t>
      </w:r>
    </w:p>
    <w:p w14:paraId="43365A4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本规范适用于温度范围</w:t>
      </w:r>
      <w:r>
        <w:rPr>
          <w:rFonts w:hint="default"/>
          <w:sz w:val="24"/>
          <w:szCs w:val="24"/>
          <w:highlight w:val="none"/>
          <w:lang w:val="en-US" w:eastAsia="zh-CN"/>
        </w:rPr>
        <w:t>180℃~660℃</w:t>
      </w:r>
      <w:r>
        <w:rPr>
          <w:rFonts w:hint="eastAsia"/>
          <w:sz w:val="24"/>
          <w:szCs w:val="24"/>
          <w:highlight w:val="none"/>
          <w:lang w:val="en-US" w:eastAsia="zh-CN"/>
        </w:rPr>
        <w:t>恒温盐槽的温度均匀度、温度波动度和工作台面表面温度的技术性能测试。其他温度范围的恒温盐槽也可参照本规范进行测试。</w:t>
      </w:r>
    </w:p>
    <w:p w14:paraId="108E639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5.2 引用文件</w:t>
      </w:r>
    </w:p>
    <w:p w14:paraId="1F2D217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主要包括JJF 1007-2007 温度计量名词及定义、JJF 1030-2023 恒温槽技术性能测试规范、JJF 1409-2013 表面温度计校准规范、GB/T 32710.12-2016 环境试验仪器及设备安全要求第12部分：盐槽等。</w:t>
      </w:r>
    </w:p>
    <w:p w14:paraId="418F424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5.3 术语</w:t>
      </w:r>
    </w:p>
    <w:p w14:paraId="2FEDFD3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对规范中使用的名词术语引用JJF 1007-2026《温度计量名词术语及定义》和JJF 1030-2023 恒温槽技术性能测试规范的一些表述并根据恒温盐槽特点进行适当修改。</w:t>
      </w:r>
    </w:p>
    <w:p w14:paraId="581766D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5.4 概述</w:t>
      </w:r>
    </w:p>
    <w:p w14:paraId="14D133B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对恒温盐槽的结构设计、原理和使用场景进行了简要介绍。</w:t>
      </w:r>
    </w:p>
    <w:p w14:paraId="38BA367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5.5 计量特性</w:t>
      </w:r>
    </w:p>
    <w:p w14:paraId="34C37B5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规定了恒温盐槽的计量性能包括：温度均匀度、温度波动度</w:t>
      </w:r>
      <w:bookmarkStart w:id="0" w:name="_GoBack"/>
      <w:bookmarkEnd w:id="0"/>
      <w:r>
        <w:rPr>
          <w:rFonts w:hint="eastAsia"/>
          <w:sz w:val="24"/>
          <w:szCs w:val="24"/>
          <w:highlight w:val="none"/>
          <w:lang w:val="en-US" w:eastAsia="zh-CN"/>
        </w:rPr>
        <w:t>和工作台面表面温度，不包含升/降温速率的测试。</w:t>
      </w:r>
    </w:p>
    <w:p w14:paraId="2F4112F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5.6 测试条件</w:t>
      </w:r>
    </w:p>
    <w:p w14:paraId="71C8D43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规定了测试时的实验室条件以及对标准器的要求，环境温度：15℃~30℃或满足产品使用说明书中的要求；环境湿度：不大于85%RH或满足产品使用说明书中的要求；大气压力：80kPa~106kPa。恒温盐槽周围应无强烈振动，应避免其它冷、热源影响。实际工作中，环境条件还应满足标准器及配套设备正常使用的要求。</w:t>
      </w:r>
    </w:p>
    <w:p w14:paraId="4869113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校准所用的测量标准测量范围和仪器类型为一般要求，具体包括铂电阻温度计、电测设备、低电势转换开关、表面温度计、数字温度计、秒表和钢卷尺等，并对其技术指标提出了明确的技术要求。其中，对铂电阻温度计的技术要求与JJF 1030-2023相比有所放宽，明确可采用A级及以上准确度等级。</w:t>
      </w:r>
    </w:p>
    <w:p w14:paraId="4A5FE4B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5.7 测试项目和测试方法</w:t>
      </w:r>
    </w:p>
    <w:p w14:paraId="27CCF7D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使用固定-移动差值法测试不同位置温度差值从而计算出均匀度。为减少标准器在盐槽中插拔、移动过程影响其性能，规范中要求使用了测试专用槽盖，其结构在附录中进行了详细讲述。同时，与JJF 1030-2023相比在，增加了采用3支铂电阻铂电阻温度计作为标准器的测试方法，并对数据处理的计算公式进行了优化。</w:t>
      </w:r>
    </w:p>
    <w:p w14:paraId="55063E7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将标准器固定于恒温盐槽工作区域中心位置，按一定时间间隔读取其10min内的温度差值为波动度。</w:t>
      </w:r>
    </w:p>
    <w:p w14:paraId="44F134B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由于高温时恒温盐槽表面温度可能较高，有烫伤风险，根据GB/T 32710.12-2016 环境试验仪器及设备安全要求第12部分：盐槽中的要求，外壳温度应不大于70℃。因而使用表面温度计在恒温盐槽工作台面典型位置测量表面温度，取最大值为工作台表面温度。</w:t>
      </w:r>
    </w:p>
    <w:p w14:paraId="7481591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5.8 测试结果表达</w:t>
      </w:r>
    </w:p>
    <w:p w14:paraId="5041540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测试结果表达根据JJF 1071—2010《国家计量校准规范编写规则》要求进行描述，并进行了适当的修改。</w:t>
      </w:r>
    </w:p>
    <w:p w14:paraId="214432D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5.9 复测时间间隔</w:t>
      </w:r>
    </w:p>
    <w:p w14:paraId="07630EC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建议复测时间间隔为1年，使用特别频繁时应适当缩短。在使用过程中经过修理、更换重要元器件等的一般需重新测试。</w:t>
      </w:r>
    </w:p>
    <w:p w14:paraId="5D3D0B0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复测时间间隔是由仪器的使用情况、仪器本身质量等诸因素所决定的，因此，送校单位可根据实际使用情况自主决定复测时间间隔。</w:t>
      </w:r>
    </w:p>
    <w:p w14:paraId="505FD18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5.10 附录</w:t>
      </w:r>
    </w:p>
    <w:p w14:paraId="06F50275">
      <w:pPr>
        <w:pStyle w:val="5"/>
        <w:spacing w:before="1" w:line="364" w:lineRule="auto"/>
        <w:ind w:right="216" w:firstLine="479"/>
      </w:pPr>
      <w:r>
        <w:rPr>
          <w:spacing w:val="-9"/>
        </w:rPr>
        <w:t>包括</w:t>
      </w:r>
      <w:r>
        <w:rPr>
          <w:rFonts w:hint="eastAsia" w:ascii="Times New Roman" w:hAnsi="Times New Roman" w:cs="Times New Roman"/>
          <w:spacing w:val="16"/>
          <w:sz w:val="24"/>
          <w:lang w:val="en-US" w:eastAsia="zh-CN"/>
        </w:rPr>
        <w:t>测试</w:t>
      </w:r>
      <w:r>
        <w:rPr>
          <w:spacing w:val="-9"/>
        </w:rPr>
        <w:t>证书格式、</w:t>
      </w:r>
      <w:r>
        <w:rPr>
          <w:rFonts w:hint="eastAsia"/>
          <w:spacing w:val="-9"/>
        </w:rPr>
        <w:t>测试专用槽盖示意图及铂电阻</w:t>
      </w:r>
      <w:r>
        <w:rPr>
          <w:rFonts w:hint="eastAsia"/>
          <w:spacing w:val="-9"/>
          <w:lang w:val="en-US" w:eastAsia="zh-CN"/>
        </w:rPr>
        <w:t>温度计</w:t>
      </w:r>
      <w:r>
        <w:rPr>
          <w:rFonts w:hint="eastAsia"/>
          <w:spacing w:val="-9"/>
        </w:rPr>
        <w:t>的选择</w:t>
      </w:r>
      <w:r>
        <w:rPr>
          <w:rFonts w:hint="eastAsia"/>
          <w:spacing w:val="-9"/>
          <w:lang w:eastAsia="zh-CN"/>
        </w:rPr>
        <w:t>、</w:t>
      </w:r>
      <w:r>
        <w:rPr>
          <w:spacing w:val="-9"/>
        </w:rPr>
        <w:t>不确定度评定</w:t>
      </w:r>
      <w:r>
        <w:rPr>
          <w:rFonts w:hint="eastAsia"/>
          <w:spacing w:val="-9"/>
          <w:lang w:val="en-US" w:eastAsia="zh-CN"/>
        </w:rPr>
        <w:t>示</w:t>
      </w:r>
      <w:r>
        <w:rPr>
          <w:spacing w:val="-9"/>
        </w:rPr>
        <w:t>例</w:t>
      </w:r>
      <w:r>
        <w:t>等内容。</w:t>
      </w:r>
    </w:p>
    <w:p w14:paraId="56EB9F74">
      <w:pPr>
        <w:pStyle w:val="5"/>
        <w:spacing w:before="1" w:line="364" w:lineRule="auto"/>
        <w:ind w:right="216" w:firstLine="479"/>
        <w:rPr>
          <w:rFonts w:hint="eastAsia"/>
          <w:spacing w:val="-9"/>
          <w:lang w:val="en-US" w:eastAsia="zh-CN"/>
        </w:rPr>
      </w:pPr>
      <w:r>
        <w:rPr>
          <w:rFonts w:hint="eastAsia"/>
          <w:lang w:val="en-US" w:eastAsia="zh-CN"/>
        </w:rPr>
        <w:t>由于恒温盐槽在高温测试的特殊性，在测试规范</w:t>
      </w:r>
      <w:r>
        <w:rPr>
          <w:rFonts w:ascii="Times New Roman" w:hAnsi="Times New Roman" w:cs="Times New Roman"/>
          <w:spacing w:val="16"/>
          <w:szCs w:val="22"/>
        </w:rPr>
        <w:t>附录</w:t>
      </w:r>
      <w:r>
        <w:rPr>
          <w:rFonts w:hint="eastAsia"/>
          <w:lang w:val="en-US" w:eastAsia="zh-CN"/>
        </w:rPr>
        <w:t>“</w:t>
      </w:r>
      <w:r>
        <w:rPr>
          <w:rFonts w:hint="eastAsia"/>
          <w:spacing w:val="-9"/>
        </w:rPr>
        <w:t>测试专用槽盖示意图及铂电阻的选择</w:t>
      </w:r>
      <w:r>
        <w:rPr>
          <w:rFonts w:hint="eastAsia"/>
          <w:lang w:val="en-US" w:eastAsia="zh-CN"/>
        </w:rPr>
        <w:t>”讲述</w:t>
      </w:r>
      <w:r>
        <w:rPr>
          <w:rFonts w:hint="eastAsia"/>
          <w:spacing w:val="-9"/>
        </w:rPr>
        <w:t>测试专用槽盖</w:t>
      </w:r>
      <w:r>
        <w:rPr>
          <w:rFonts w:hint="eastAsia"/>
          <w:spacing w:val="-9"/>
          <w:lang w:val="en-US" w:eastAsia="zh-CN"/>
        </w:rPr>
        <w:t>结构</w:t>
      </w:r>
      <w:r>
        <w:rPr>
          <w:rFonts w:hint="eastAsia"/>
          <w:spacing w:val="-9"/>
        </w:rPr>
        <w:t>示意图</w:t>
      </w:r>
      <w:r>
        <w:rPr>
          <w:rFonts w:hint="eastAsia"/>
          <w:spacing w:val="-9"/>
          <w:lang w:eastAsia="zh-CN"/>
        </w:rPr>
        <w:t>，</w:t>
      </w:r>
      <w:r>
        <w:rPr>
          <w:rFonts w:hint="eastAsia"/>
          <w:spacing w:val="-9"/>
          <w:lang w:val="en-US" w:eastAsia="zh-CN"/>
        </w:rPr>
        <w:t>方便大家理解其结构和目的。</w:t>
      </w:r>
    </w:p>
    <w:p w14:paraId="5245503A">
      <w:pPr>
        <w:pStyle w:val="5"/>
        <w:spacing w:before="1" w:line="364" w:lineRule="auto"/>
        <w:ind w:right="216" w:firstLine="479"/>
        <w:rPr>
          <w:rFonts w:hint="eastAsia"/>
          <w:spacing w:val="-9"/>
          <w:lang w:val="en-US" w:eastAsia="zh-CN"/>
        </w:rPr>
      </w:pPr>
    </w:p>
    <w:p w14:paraId="6F11ACCC">
      <w:pPr>
        <w:pStyle w:val="5"/>
        <w:spacing w:before="1" w:line="364" w:lineRule="auto"/>
        <w:ind w:right="216" w:firstLine="479"/>
        <w:rPr>
          <w:rFonts w:hint="eastAsia"/>
          <w:spacing w:val="-9"/>
          <w:lang w:val="en-US" w:eastAsia="zh-CN"/>
        </w:rPr>
      </w:pPr>
    </w:p>
    <w:p w14:paraId="0D77AF66">
      <w:pPr>
        <w:widowControl/>
        <w:spacing w:line="360" w:lineRule="auto"/>
        <w:jc w:val="right"/>
      </w:pPr>
      <w:r>
        <w:rPr>
          <w:rFonts w:hint="eastAsia" w:ascii="宋体" w:hAnsi="宋体" w:cs="宋体"/>
          <w:kern w:val="0"/>
          <w:sz w:val="24"/>
          <w:lang w:bidi="ar"/>
        </w:rPr>
        <w:t>《</w:t>
      </w:r>
      <w:r>
        <w:rPr>
          <w:rFonts w:hint="eastAsia" w:ascii="宋体" w:hAnsi="宋体" w:cs="宋体"/>
          <w:kern w:val="0"/>
          <w:sz w:val="24"/>
          <w:lang w:val="en-US" w:eastAsia="zh-CN" w:bidi="ar"/>
        </w:rPr>
        <w:t>恒温盐槽</w:t>
      </w:r>
      <w:r>
        <w:rPr>
          <w:rFonts w:hint="eastAsia" w:ascii="宋体" w:hAnsi="宋体" w:cs="宋体"/>
          <w:kern w:val="0"/>
          <w:sz w:val="24"/>
          <w:lang w:bidi="ar"/>
        </w:rPr>
        <w:t xml:space="preserve">技术性能测试规范》编写工作组 </w:t>
      </w:r>
    </w:p>
    <w:p w14:paraId="1725A532">
      <w:pPr>
        <w:widowControl/>
        <w:spacing w:line="360" w:lineRule="auto"/>
        <w:jc w:val="right"/>
        <w:rPr>
          <w:rFonts w:hint="eastAsia" w:ascii="宋体" w:hAnsi="宋体" w:cs="宋体"/>
          <w:kern w:val="0"/>
          <w:sz w:val="24"/>
          <w:lang w:bidi="ar"/>
        </w:rPr>
      </w:pPr>
      <w:r>
        <w:rPr>
          <w:rFonts w:hint="eastAsia" w:ascii="宋体" w:hAnsi="宋体" w:cs="宋体"/>
          <w:kern w:val="0"/>
          <w:sz w:val="24"/>
          <w:lang w:bidi="ar"/>
        </w:rPr>
        <w:t>202</w:t>
      </w:r>
      <w:r>
        <w:rPr>
          <w:rFonts w:hint="eastAsia" w:cs="宋体"/>
          <w:kern w:val="0"/>
          <w:sz w:val="24"/>
          <w:lang w:val="en-US" w:eastAsia="zh-CN" w:bidi="ar"/>
        </w:rPr>
        <w:t>6</w:t>
      </w:r>
      <w:r>
        <w:rPr>
          <w:rFonts w:hint="eastAsia" w:ascii="宋体" w:hAnsi="宋体" w:cs="宋体"/>
          <w:kern w:val="0"/>
          <w:sz w:val="24"/>
          <w:lang w:bidi="ar"/>
        </w:rPr>
        <w:t>年</w:t>
      </w:r>
      <w:r>
        <w:rPr>
          <w:rFonts w:hint="eastAsia" w:cs="宋体"/>
          <w:kern w:val="0"/>
          <w:sz w:val="24"/>
          <w:lang w:val="en-US" w:eastAsia="zh-CN" w:bidi="ar"/>
        </w:rPr>
        <w:t>0</w:t>
      </w:r>
      <w:r>
        <w:rPr>
          <w:rFonts w:hint="eastAsia" w:ascii="宋体" w:hAnsi="宋体" w:cs="宋体"/>
          <w:kern w:val="0"/>
          <w:sz w:val="24"/>
          <w:lang w:val="en-US" w:eastAsia="zh-CN" w:bidi="ar"/>
        </w:rPr>
        <w:t>5</w:t>
      </w:r>
      <w:r>
        <w:rPr>
          <w:rFonts w:hint="eastAsia" w:ascii="宋体" w:hAnsi="宋体" w:cs="宋体"/>
          <w:kern w:val="0"/>
          <w:sz w:val="24"/>
          <w:lang w:bidi="ar"/>
        </w:rPr>
        <w:t>月</w:t>
      </w:r>
    </w:p>
    <w:p w14:paraId="2968DC0D">
      <w:pPr>
        <w:pStyle w:val="5"/>
        <w:spacing w:before="1" w:line="364" w:lineRule="auto"/>
        <w:ind w:right="216" w:firstLine="479"/>
        <w:rPr>
          <w:rFonts w:hint="default"/>
          <w:spacing w:val="-9"/>
          <w:lang w:val="en-US" w:eastAsia="zh-CN"/>
        </w:rPr>
      </w:pPr>
    </w:p>
    <w:sectPr>
      <w:pgSz w:w="11910" w:h="16840"/>
      <w:pgMar w:top="1460" w:right="1580" w:bottom="1380" w:left="1680" w:header="0" w:footer="11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18C0A">
    <w:pPr>
      <w:pStyle w:val="5"/>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3713480</wp:posOffset>
              </wp:positionH>
              <wp:positionV relativeFrom="page">
                <wp:posOffset>9793605</wp:posOffset>
              </wp:positionV>
              <wp:extent cx="1346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34620" cy="139700"/>
                      </a:xfrm>
                      <a:prstGeom prst="rect">
                        <a:avLst/>
                      </a:prstGeom>
                      <a:noFill/>
                      <a:ln>
                        <a:noFill/>
                      </a:ln>
                    </wps:spPr>
                    <wps:txbx>
                      <w:txbxContent>
                        <w:p w14:paraId="532E40FE">
                          <w:pPr>
                            <w:spacing w:line="203" w:lineRule="exact"/>
                            <w:ind w:left="60"/>
                            <w:rPr>
                              <w:rFonts w:ascii="Calibri"/>
                              <w:sz w:val="18"/>
                            </w:rPr>
                          </w:pPr>
                          <w:r>
                            <w:fldChar w:fldCharType="begin"/>
                          </w:r>
                          <w:r>
                            <w:rPr>
                              <w:rFonts w:ascii="Calibri"/>
                              <w:sz w:val="18"/>
                            </w:rP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2.4pt;margin-top:771.15pt;height:11pt;width:10.6pt;mso-position-horizontal-relative:page;mso-position-vertical-relative:page;z-index:-251657216;mso-width-relative:page;mso-height-relative:page;" filled="f" stroked="f" coordsize="21600,21600" o:gfxdata="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SIo7naAAAADQEAAA8AAAAAAAAAAQAgAAAAIgAAAGRycy9kb3ducmV2&#10;LnhtbFBLAQIUABQAAAAIAIdO4kBsOzus+gEAAAMEAAAOAAAAAAAAAAEAIAAAACkBAABkcnMvZTJv&#10;RG9jLnhtbFBLBQYAAAAABgAGAFkBAACVBQAAAAA=&#10;">
              <v:fill on="f" focussize="0,0"/>
              <v:stroke on="f"/>
              <v:imagedata o:title=""/>
              <o:lock v:ext="edit" aspectratio="f"/>
              <v:textbox inset="0mm,0mm,0mm,0mm">
                <w:txbxContent>
                  <w:p w14:paraId="532E40FE">
                    <w:pPr>
                      <w:spacing w:line="203" w:lineRule="exact"/>
                      <w:ind w:left="60"/>
                      <w:rPr>
                        <w:rFonts w:ascii="Calibri"/>
                        <w:sz w:val="18"/>
                      </w:rPr>
                    </w:pPr>
                    <w:r>
                      <w:fldChar w:fldCharType="begin"/>
                    </w:r>
                    <w:r>
                      <w:rPr>
                        <w:rFonts w:ascii="Calibri"/>
                        <w:sz w:val="18"/>
                      </w:rPr>
                      <w:instrText xml:space="preserve"> PAGE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D2852"/>
    <w:multiLevelType w:val="singleLevel"/>
    <w:tmpl w:val="D12D285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297"/>
    <w:rsid w:val="000B30D9"/>
    <w:rsid w:val="000C359C"/>
    <w:rsid w:val="000F287C"/>
    <w:rsid w:val="00183529"/>
    <w:rsid w:val="001B2781"/>
    <w:rsid w:val="0025318A"/>
    <w:rsid w:val="003631C0"/>
    <w:rsid w:val="004963F1"/>
    <w:rsid w:val="00561588"/>
    <w:rsid w:val="00635A7C"/>
    <w:rsid w:val="00652DB1"/>
    <w:rsid w:val="00672007"/>
    <w:rsid w:val="006F0024"/>
    <w:rsid w:val="006F0251"/>
    <w:rsid w:val="0074017D"/>
    <w:rsid w:val="0075742D"/>
    <w:rsid w:val="007661ED"/>
    <w:rsid w:val="00821AA0"/>
    <w:rsid w:val="00916297"/>
    <w:rsid w:val="009957A5"/>
    <w:rsid w:val="00A32CDF"/>
    <w:rsid w:val="00BA7CA7"/>
    <w:rsid w:val="00C55DA3"/>
    <w:rsid w:val="00D658BE"/>
    <w:rsid w:val="00EF3195"/>
    <w:rsid w:val="00F22FE9"/>
    <w:rsid w:val="00F9141C"/>
    <w:rsid w:val="00FA1CE2"/>
    <w:rsid w:val="02227B88"/>
    <w:rsid w:val="02CB619B"/>
    <w:rsid w:val="037759DB"/>
    <w:rsid w:val="04161698"/>
    <w:rsid w:val="041B3C4C"/>
    <w:rsid w:val="05542478"/>
    <w:rsid w:val="0676641E"/>
    <w:rsid w:val="078057A6"/>
    <w:rsid w:val="09D27E0F"/>
    <w:rsid w:val="09ED4C49"/>
    <w:rsid w:val="0AA23CAA"/>
    <w:rsid w:val="0D8A1F3D"/>
    <w:rsid w:val="0D984ECC"/>
    <w:rsid w:val="0DC50BB6"/>
    <w:rsid w:val="0E370B89"/>
    <w:rsid w:val="11BA18B5"/>
    <w:rsid w:val="12A14B05"/>
    <w:rsid w:val="131274CE"/>
    <w:rsid w:val="13FF7F99"/>
    <w:rsid w:val="14E1184E"/>
    <w:rsid w:val="162D4D4B"/>
    <w:rsid w:val="166E0EC0"/>
    <w:rsid w:val="172D0D7B"/>
    <w:rsid w:val="17AC1CA0"/>
    <w:rsid w:val="18DC0363"/>
    <w:rsid w:val="195720DF"/>
    <w:rsid w:val="19BC2EB8"/>
    <w:rsid w:val="19CA28B1"/>
    <w:rsid w:val="1CE4012E"/>
    <w:rsid w:val="1E562965"/>
    <w:rsid w:val="1FAE057F"/>
    <w:rsid w:val="20274347"/>
    <w:rsid w:val="208F03B0"/>
    <w:rsid w:val="2101073E"/>
    <w:rsid w:val="213D527E"/>
    <w:rsid w:val="25781413"/>
    <w:rsid w:val="28967895"/>
    <w:rsid w:val="2A3711E0"/>
    <w:rsid w:val="2AB1423E"/>
    <w:rsid w:val="2E4D50AA"/>
    <w:rsid w:val="30872E52"/>
    <w:rsid w:val="30C96FC7"/>
    <w:rsid w:val="32193502"/>
    <w:rsid w:val="3748158D"/>
    <w:rsid w:val="378123A9"/>
    <w:rsid w:val="38314519"/>
    <w:rsid w:val="396D148D"/>
    <w:rsid w:val="3A125E82"/>
    <w:rsid w:val="3A3E6C77"/>
    <w:rsid w:val="3ADC3D9A"/>
    <w:rsid w:val="3BCB62E9"/>
    <w:rsid w:val="3CC72F54"/>
    <w:rsid w:val="3E043D34"/>
    <w:rsid w:val="3E4217E5"/>
    <w:rsid w:val="3EF26282"/>
    <w:rsid w:val="3F7141D5"/>
    <w:rsid w:val="43CD4BC8"/>
    <w:rsid w:val="44B80DB9"/>
    <w:rsid w:val="44BC7116"/>
    <w:rsid w:val="44F00B6E"/>
    <w:rsid w:val="44FD328B"/>
    <w:rsid w:val="462D194E"/>
    <w:rsid w:val="4B18699B"/>
    <w:rsid w:val="4D001B6A"/>
    <w:rsid w:val="4D8409ED"/>
    <w:rsid w:val="4DD32FF7"/>
    <w:rsid w:val="4DE1199C"/>
    <w:rsid w:val="4EDD011F"/>
    <w:rsid w:val="4F1F277C"/>
    <w:rsid w:val="527A416D"/>
    <w:rsid w:val="55794BB0"/>
    <w:rsid w:val="562543F0"/>
    <w:rsid w:val="583F0740"/>
    <w:rsid w:val="5C790632"/>
    <w:rsid w:val="5FF7504F"/>
    <w:rsid w:val="620D6DAC"/>
    <w:rsid w:val="622C20B5"/>
    <w:rsid w:val="632077B4"/>
    <w:rsid w:val="63766952"/>
    <w:rsid w:val="646761C3"/>
    <w:rsid w:val="66261ADC"/>
    <w:rsid w:val="66D6776C"/>
    <w:rsid w:val="66FE7A16"/>
    <w:rsid w:val="6A710D40"/>
    <w:rsid w:val="6BA41C57"/>
    <w:rsid w:val="6C8639E2"/>
    <w:rsid w:val="6E455156"/>
    <w:rsid w:val="6F8C7562"/>
    <w:rsid w:val="733046A8"/>
    <w:rsid w:val="76515A7A"/>
    <w:rsid w:val="77D71596"/>
    <w:rsid w:val="79F65A64"/>
    <w:rsid w:val="7C703D67"/>
    <w:rsid w:val="7D5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120"/>
      <w:outlineLvl w:val="0"/>
    </w:pPr>
    <w:rPr>
      <w:rFonts w:ascii="Microsoft JhengHei" w:hAnsi="Microsoft JhengHei" w:eastAsia="Microsoft JhengHei" w:cs="Microsoft JhengHei"/>
      <w:b/>
      <w:bCs/>
      <w:sz w:val="24"/>
      <w:szCs w:val="24"/>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ind w:left="120"/>
    </w:pPr>
    <w:rPr>
      <w:sz w:val="24"/>
      <w:szCs w:val="24"/>
    </w:rPr>
  </w:style>
  <w:style w:type="paragraph" w:styleId="6">
    <w:name w:val="Body Text Indent"/>
    <w:basedOn w:val="1"/>
    <w:link w:val="18"/>
    <w:semiHidden/>
    <w:unhideWhenUsed/>
    <w:qFormat/>
    <w:uiPriority w:val="99"/>
    <w:pPr>
      <w:spacing w:after="120"/>
      <w:ind w:left="420" w:leftChars="200"/>
    </w:pPr>
  </w:style>
  <w:style w:type="paragraph" w:styleId="7">
    <w:name w:val="header"/>
    <w:basedOn w:val="1"/>
    <w:link w:val="19"/>
    <w:unhideWhenUsed/>
    <w:qFormat/>
    <w:uiPriority w:val="99"/>
    <w:pPr>
      <w:pBdr>
        <w:bottom w:val="single" w:color="auto" w:sz="6" w:space="1"/>
      </w:pBdr>
      <w:tabs>
        <w:tab w:val="center" w:pos="4153"/>
        <w:tab w:val="right" w:pos="8306"/>
      </w:tabs>
      <w:autoSpaceDE/>
      <w:autoSpaceDN/>
      <w:snapToGrid w:val="0"/>
      <w:jc w:val="center"/>
    </w:pPr>
    <w:rPr>
      <w:rFonts w:ascii="Calibri" w:hAnsi="Calibri" w:cs="Calibri"/>
      <w:kern w:val="2"/>
      <w:sz w:val="18"/>
      <w:szCs w:val="18"/>
    </w:rPr>
  </w:style>
  <w:style w:type="paragraph" w:styleId="8">
    <w:name w:val="Normal (Web)"/>
    <w:basedOn w:val="1"/>
    <w:semiHidden/>
    <w:unhideWhenUsed/>
    <w:qFormat/>
    <w:uiPriority w:val="99"/>
    <w:rPr>
      <w:sz w:val="24"/>
    </w:rPr>
  </w:style>
  <w:style w:type="paragraph" w:styleId="9">
    <w:name w:val="Title"/>
    <w:basedOn w:val="1"/>
    <w:qFormat/>
    <w:uiPriority w:val="10"/>
    <w:pPr>
      <w:ind w:left="1964" w:right="2057"/>
      <w:jc w:val="center"/>
    </w:pPr>
    <w:rPr>
      <w:sz w:val="42"/>
      <w:szCs w:val="4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Emphasis"/>
    <w:basedOn w:val="12"/>
    <w:qFormat/>
    <w:uiPriority w:val="20"/>
    <w:rPr>
      <w:i/>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spacing w:before="4"/>
      <w:ind w:left="481" w:hanging="362"/>
    </w:pPr>
  </w:style>
  <w:style w:type="paragraph" w:customStyle="1" w:styleId="17">
    <w:name w:val="Table Paragraph"/>
    <w:basedOn w:val="1"/>
    <w:qFormat/>
    <w:uiPriority w:val="1"/>
  </w:style>
  <w:style w:type="character" w:customStyle="1" w:styleId="18">
    <w:name w:val="正文文本缩进 字符"/>
    <w:basedOn w:val="12"/>
    <w:link w:val="6"/>
    <w:semiHidden/>
    <w:qFormat/>
    <w:uiPriority w:val="99"/>
    <w:rPr>
      <w:rFonts w:ascii="宋体" w:hAnsi="宋体" w:eastAsia="宋体" w:cs="宋体"/>
      <w:lang w:eastAsia="zh-CN"/>
    </w:rPr>
  </w:style>
  <w:style w:type="character" w:customStyle="1" w:styleId="19">
    <w:name w:val="页眉 字符"/>
    <w:basedOn w:val="12"/>
    <w:link w:val="7"/>
    <w:qFormat/>
    <w:uiPriority w:val="99"/>
    <w:rPr>
      <w:rFonts w:ascii="Calibri" w:hAnsi="Calibri" w:eastAsia="宋体" w:cs="Calibri"/>
      <w:kern w:val="2"/>
      <w:sz w:val="18"/>
      <w:szCs w:val="18"/>
      <w:lang w:eastAsia="zh-CN"/>
    </w:rPr>
  </w:style>
  <w:style w:type="character" w:customStyle="1" w:styleId="20">
    <w:name w:val="font1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6843</Words>
  <Characters>7659</Characters>
  <Lines>20</Lines>
  <Paragraphs>5</Paragraphs>
  <TotalTime>0</TotalTime>
  <ScaleCrop>false</ScaleCrop>
  <LinksUpToDate>false</LinksUpToDate>
  <CharactersWithSpaces>7749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2024-06-17T12:41:00Z</dcterms:created>
  <dc:creator>xb21cn</dc:creator>
  <cp:lastModifiedBy>崔超</cp:lastModifiedBy>
  <dcterms:modified xsi:type="dcterms:W3CDTF">2026-06-01T06:22:52Z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2024-01-30T00:00:00Z</vt:filetime>
  </property>
  <property fmtid="{D5CDD505-2E9C-101B-9397-08002B2CF9AE}" pid="3" name="Creator">
    <vt:lpwstr>Microsoft® Word 2013</vt:lpwstr>
  </property>
  <property fmtid="{D5CDD505-2E9C-101B-9397-08002B2CF9AE}" pid="4" name="LastSaved">
    <vt:filetime>2024-03-18T00:00:00Z</vt:filetime>
  </property>
  <property fmtid="{D5CDD505-2E9C-101B-9397-08002B2CF9AE}" pid="5" name="KSOTemplateDocerSaveRecord">
    <vt:lpwstr>eyJoZGlkIjoiNWE0ZmZhMGU2MjA3MWMyM2Q1MTJiZDkwMGY3NDMxOTAiLCJ1c2VySWQiOiI1MDg5MTA5MDIifQ==</vt:lpwstr>
  </property>
  <property fmtid="{D5CDD505-2E9C-101B-9397-08002B2CF9AE}" pid="6" name="KSOProductBuildVer">
    <vt:lpwstr>2052-12.1.0.26375</vt:lpwstr>
  </property>
  <property fmtid="{D5CDD505-2E9C-101B-9397-08002B2CF9AE}" pid="7" name="ICV">
    <vt:lpwstr>984D6D38F86247EBBCEB48C311916C7C_12</vt:lpwstr>
  </property>
</Properties>
</file>